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sz w:val="36"/>
          <w:szCs w:val="36"/>
        </w:rPr>
      </w:pPr>
      <w:r>
        <w:rPr>
          <w:rFonts w:hint="eastAsia" w:ascii="黑体" w:hAnsi="黑体" w:eastAsia="黑体" w:cs="黑体"/>
          <w:sz w:val="30"/>
          <w:szCs w:val="30"/>
        </w:rPr>
        <w:t>安徽省地方标准编制说明</w:t>
      </w:r>
    </w:p>
    <w:tbl>
      <w:tblPr>
        <w:tblStyle w:val="8"/>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987"/>
        <w:gridCol w:w="3895"/>
        <w:gridCol w:w="1483"/>
        <w:gridCol w:w="1058"/>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1" w:type="dxa"/>
            <w:gridSpan w:val="2"/>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标准名称</w:t>
            </w:r>
          </w:p>
        </w:tc>
        <w:tc>
          <w:tcPr>
            <w:tcW w:w="7889" w:type="dxa"/>
            <w:gridSpan w:val="4"/>
            <w:vAlign w:val="center"/>
          </w:tcPr>
          <w:p>
            <w:pPr>
              <w:pStyle w:val="14"/>
              <w:adjustRightInd w:val="0"/>
              <w:spacing w:line="360" w:lineRule="auto"/>
              <w:ind w:firstLine="0" w:firstLineChars="0"/>
              <w:contextualSpacing/>
              <w:rPr>
                <w:rFonts w:hAnsi="宋体"/>
                <w:szCs w:val="21"/>
              </w:rPr>
            </w:pPr>
            <w:r>
              <w:rPr>
                <w:rFonts w:hint="eastAsia"/>
              </w:rPr>
              <w:t>高速公路沥青路面养护指南  第 2 部分：养护设计导则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1" w:type="dxa"/>
            <w:gridSpan w:val="2"/>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任务来源</w:t>
            </w:r>
          </w:p>
          <w:p>
            <w:pPr>
              <w:pStyle w:val="14"/>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889" w:type="dxa"/>
            <w:gridSpan w:val="4"/>
            <w:vAlign w:val="center"/>
          </w:tcPr>
          <w:p>
            <w:pPr>
              <w:pStyle w:val="14"/>
              <w:adjustRightInd w:val="0"/>
              <w:spacing w:line="360" w:lineRule="auto"/>
              <w:ind w:firstLine="0" w:firstLineChars="0"/>
              <w:contextualSpacing/>
              <w:rPr>
                <w:rFonts w:hAnsi="宋体"/>
                <w:szCs w:val="21"/>
              </w:rPr>
            </w:pPr>
            <w:r>
              <w:rPr>
                <w:rFonts w:hint="eastAsia" w:ascii="Times New Roman"/>
                <w:szCs w:val="24"/>
              </w:rPr>
              <w:t>《安徽省市场监督管理局关于下达202</w:t>
            </w:r>
            <w:r>
              <w:rPr>
                <w:rFonts w:ascii="Times New Roman"/>
                <w:szCs w:val="24"/>
              </w:rPr>
              <w:t>3</w:t>
            </w:r>
            <w:r>
              <w:rPr>
                <w:rFonts w:hint="eastAsia" w:ascii="Times New Roman"/>
                <w:szCs w:val="24"/>
              </w:rPr>
              <w:t>年第一批安徽省地方标准制修订计划的通知》（202</w:t>
            </w:r>
            <w:r>
              <w:rPr>
                <w:rFonts w:ascii="Times New Roman"/>
                <w:szCs w:val="24"/>
              </w:rPr>
              <w:t>3</w:t>
            </w:r>
            <w:r>
              <w:rPr>
                <w:rFonts w:hint="eastAsia" w:ascii="Times New Roman"/>
                <w:szCs w:val="24"/>
              </w:rPr>
              <w:t>-1-</w:t>
            </w:r>
            <w:r>
              <w:rPr>
                <w:rFonts w:ascii="Times New Roman"/>
                <w:szCs w:val="24"/>
              </w:rPr>
              <w:t>9</w:t>
            </w:r>
            <w:r>
              <w:rPr>
                <w:rFonts w:hint="eastAsia" w:ascii="Times New Roman"/>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1" w:type="dxa"/>
            <w:gridSpan w:val="2"/>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第一起草单位</w:t>
            </w:r>
          </w:p>
          <w:p>
            <w:pPr>
              <w:pStyle w:val="14"/>
              <w:adjustRightInd w:val="0"/>
              <w:spacing w:line="360" w:lineRule="auto"/>
              <w:ind w:firstLine="0" w:firstLineChars="0"/>
              <w:contextualSpacing/>
              <w:jc w:val="center"/>
              <w:rPr>
                <w:rFonts w:hAnsi="宋体"/>
                <w:szCs w:val="21"/>
              </w:rPr>
            </w:pPr>
            <w:r>
              <w:rPr>
                <w:rFonts w:hint="eastAsia" w:hAnsi="宋体"/>
                <w:szCs w:val="21"/>
              </w:rPr>
              <w:t>（盖章）</w:t>
            </w:r>
          </w:p>
        </w:tc>
        <w:tc>
          <w:tcPr>
            <w:tcW w:w="7889" w:type="dxa"/>
            <w:gridSpan w:val="4"/>
            <w:vAlign w:val="center"/>
          </w:tcPr>
          <w:p>
            <w:pPr>
              <w:pStyle w:val="14"/>
              <w:adjustRightInd w:val="0"/>
              <w:spacing w:line="360" w:lineRule="auto"/>
              <w:ind w:firstLine="0" w:firstLineChars="0"/>
              <w:contextualSpacing/>
              <w:rPr>
                <w:rFonts w:hAnsi="宋体"/>
                <w:szCs w:val="21"/>
              </w:rPr>
            </w:pPr>
            <w:r>
              <w:rPr>
                <w:rFonts w:hint="eastAsia" w:asciiTheme="minorEastAsia" w:hAnsiTheme="minorEastAsia"/>
                <w:szCs w:val="21"/>
              </w:rPr>
              <w:t>安徽省交通控股集团有限公司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1" w:type="dxa"/>
            <w:gridSpan w:val="2"/>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单位地址</w:t>
            </w:r>
          </w:p>
        </w:tc>
        <w:tc>
          <w:tcPr>
            <w:tcW w:w="7889" w:type="dxa"/>
            <w:gridSpan w:val="4"/>
            <w:vAlign w:val="center"/>
          </w:tcPr>
          <w:p>
            <w:pPr>
              <w:pStyle w:val="14"/>
              <w:adjustRightInd w:val="0"/>
              <w:spacing w:line="360" w:lineRule="auto"/>
              <w:ind w:firstLine="0" w:firstLineChars="0"/>
              <w:contextualSpacing/>
              <w:rPr>
                <w:rFonts w:hAnsi="宋体"/>
                <w:szCs w:val="21"/>
              </w:rPr>
            </w:pPr>
            <w:r>
              <w:rPr>
                <w:rFonts w:hint="eastAsia" w:asciiTheme="minorEastAsia" w:hAnsiTheme="minorEastAsia"/>
                <w:szCs w:val="21"/>
              </w:rPr>
              <w:t>安徽省合肥市望江西路520号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1" w:type="dxa"/>
            <w:gridSpan w:val="2"/>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889" w:type="dxa"/>
            <w:gridSpan w:val="4"/>
            <w:vAlign w:val="center"/>
          </w:tcPr>
          <w:p>
            <w:pPr>
              <w:pStyle w:val="14"/>
              <w:adjustRightInd w:val="0"/>
              <w:spacing w:line="440" w:lineRule="exact"/>
              <w:ind w:firstLine="0" w:firstLineChars="0"/>
              <w:contextualSpacing/>
              <w:rPr>
                <w:rFonts w:asciiTheme="minorEastAsia" w:hAnsiTheme="minorEastAsia"/>
              </w:rPr>
            </w:pPr>
            <w:r>
              <w:rPr>
                <w:rFonts w:hint="eastAsia" w:asciiTheme="minorEastAsia" w:hAnsiTheme="minorEastAsia"/>
              </w:rPr>
              <w:t>安徽皖通高速公路股份有限公司</w:t>
            </w:r>
          </w:p>
          <w:p>
            <w:pPr>
              <w:pStyle w:val="14"/>
              <w:adjustRightInd w:val="0"/>
              <w:spacing w:line="440" w:lineRule="exact"/>
              <w:ind w:firstLine="0" w:firstLineChars="0"/>
              <w:contextualSpacing/>
              <w:rPr>
                <w:rFonts w:asciiTheme="minorEastAsia" w:hAnsiTheme="minorEastAsia"/>
              </w:rPr>
            </w:pPr>
            <w:r>
              <w:rPr>
                <w:rFonts w:hint="eastAsia" w:asciiTheme="minorEastAsia" w:hAnsiTheme="minorEastAsia"/>
              </w:rPr>
              <w:t>安徽交控道路养护有限公司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标准起草人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序号</w:t>
            </w:r>
          </w:p>
        </w:tc>
        <w:tc>
          <w:tcPr>
            <w:tcW w:w="987" w:type="dxa"/>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姓名</w:t>
            </w:r>
          </w:p>
        </w:tc>
        <w:tc>
          <w:tcPr>
            <w:tcW w:w="3895" w:type="dxa"/>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单位</w:t>
            </w:r>
          </w:p>
        </w:tc>
        <w:tc>
          <w:tcPr>
            <w:tcW w:w="1483" w:type="dxa"/>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职务</w:t>
            </w:r>
          </w:p>
        </w:tc>
        <w:tc>
          <w:tcPr>
            <w:tcW w:w="1058" w:type="dxa"/>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职称</w:t>
            </w:r>
          </w:p>
        </w:tc>
        <w:tc>
          <w:tcPr>
            <w:tcW w:w="1453" w:type="dxa"/>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94" w:type="dxa"/>
            <w:vAlign w:val="center"/>
          </w:tcPr>
          <w:p>
            <w:pPr>
              <w:pStyle w:val="14"/>
              <w:ind w:firstLine="0" w:firstLineChars="0"/>
              <w:jc w:val="center"/>
              <w:rPr>
                <w:rFonts w:hAnsi="宋体"/>
                <w:szCs w:val="21"/>
              </w:rPr>
            </w:pPr>
            <w:r>
              <w:rPr>
                <w:rFonts w:hint="eastAsia" w:hAnsi="宋体"/>
                <w:szCs w:val="21"/>
              </w:rPr>
              <w:t>1</w:t>
            </w:r>
          </w:p>
        </w:tc>
        <w:tc>
          <w:tcPr>
            <w:tcW w:w="987" w:type="dxa"/>
            <w:vAlign w:val="center"/>
          </w:tcPr>
          <w:p>
            <w:pPr>
              <w:pStyle w:val="14"/>
              <w:ind w:firstLine="0" w:firstLineChars="0"/>
              <w:jc w:val="center"/>
            </w:pPr>
          </w:p>
        </w:tc>
        <w:tc>
          <w:tcPr>
            <w:tcW w:w="3895" w:type="dxa"/>
            <w:vAlign w:val="center"/>
          </w:tcPr>
          <w:p>
            <w:pPr>
              <w:pStyle w:val="14"/>
              <w:ind w:firstLine="0" w:firstLineChars="0"/>
              <w:jc w:val="center"/>
            </w:pPr>
          </w:p>
        </w:tc>
        <w:tc>
          <w:tcPr>
            <w:tcW w:w="1483" w:type="dxa"/>
            <w:vAlign w:val="center"/>
          </w:tcPr>
          <w:p>
            <w:pPr>
              <w:pStyle w:val="14"/>
              <w:ind w:firstLine="0" w:firstLineChars="0"/>
              <w:jc w:val="center"/>
            </w:pPr>
          </w:p>
        </w:tc>
        <w:tc>
          <w:tcPr>
            <w:tcW w:w="1058" w:type="dxa"/>
            <w:vAlign w:val="center"/>
          </w:tcPr>
          <w:p>
            <w:pPr>
              <w:pStyle w:val="14"/>
              <w:ind w:firstLine="0" w:firstLineChars="0"/>
              <w:jc w:val="center"/>
            </w:pPr>
          </w:p>
        </w:tc>
        <w:tc>
          <w:tcPr>
            <w:tcW w:w="1453" w:type="dxa"/>
            <w:vAlign w:val="center"/>
          </w:tcPr>
          <w:p>
            <w:pPr>
              <w:pStyle w:val="14"/>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94" w:type="dxa"/>
            <w:vAlign w:val="center"/>
          </w:tcPr>
          <w:p>
            <w:pPr>
              <w:pStyle w:val="14"/>
              <w:ind w:firstLine="0" w:firstLineChars="0"/>
              <w:jc w:val="center"/>
              <w:rPr>
                <w:rFonts w:hAnsi="宋体"/>
                <w:szCs w:val="21"/>
              </w:rPr>
            </w:pPr>
            <w:r>
              <w:rPr>
                <w:rFonts w:hint="eastAsia" w:hAnsi="宋体"/>
                <w:szCs w:val="21"/>
              </w:rPr>
              <w:t>2</w:t>
            </w:r>
          </w:p>
        </w:tc>
        <w:tc>
          <w:tcPr>
            <w:tcW w:w="987" w:type="dxa"/>
            <w:vAlign w:val="center"/>
          </w:tcPr>
          <w:p>
            <w:pPr>
              <w:jc w:val="center"/>
            </w:pPr>
          </w:p>
        </w:tc>
        <w:tc>
          <w:tcPr>
            <w:tcW w:w="3895" w:type="dxa"/>
            <w:vAlign w:val="center"/>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Ansi="宋体"/>
                <w:szCs w:val="21"/>
              </w:rPr>
            </w:pPr>
            <w:r>
              <w:rPr>
                <w:rFonts w:hint="eastAsia" w:hAnsi="宋体"/>
                <w:szCs w:val="21"/>
              </w:rPr>
              <w:t>3</w:t>
            </w:r>
          </w:p>
        </w:tc>
        <w:tc>
          <w:tcPr>
            <w:tcW w:w="987" w:type="dxa"/>
            <w:vAlign w:val="center"/>
          </w:tcPr>
          <w:p>
            <w:pPr>
              <w:jc w:val="center"/>
            </w:pPr>
          </w:p>
        </w:tc>
        <w:tc>
          <w:tcPr>
            <w:tcW w:w="3895" w:type="dxa"/>
            <w:vAlign w:val="center"/>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Ansi="宋体"/>
                <w:szCs w:val="21"/>
              </w:rPr>
            </w:pPr>
            <w:r>
              <w:rPr>
                <w:rFonts w:hint="eastAsia" w:hAnsi="宋体"/>
                <w:szCs w:val="21"/>
              </w:rPr>
              <w:t>4</w:t>
            </w:r>
          </w:p>
        </w:tc>
        <w:tc>
          <w:tcPr>
            <w:tcW w:w="987" w:type="dxa"/>
            <w:vAlign w:val="center"/>
          </w:tcPr>
          <w:p>
            <w:pPr>
              <w:jc w:val="center"/>
            </w:pPr>
          </w:p>
        </w:tc>
        <w:tc>
          <w:tcPr>
            <w:tcW w:w="3895" w:type="dxa"/>
            <w:vAlign w:val="center"/>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Ansi="宋体"/>
                <w:szCs w:val="21"/>
              </w:rPr>
            </w:pPr>
            <w:r>
              <w:rPr>
                <w:rFonts w:hAnsi="宋体"/>
                <w:szCs w:val="21"/>
              </w:rPr>
              <w:t>5</w:t>
            </w:r>
          </w:p>
        </w:tc>
        <w:tc>
          <w:tcPr>
            <w:tcW w:w="987" w:type="dxa"/>
            <w:vAlign w:val="center"/>
          </w:tcPr>
          <w:p>
            <w:pPr>
              <w:pStyle w:val="14"/>
              <w:ind w:firstLine="0" w:firstLineChars="0"/>
              <w:jc w:val="center"/>
            </w:pPr>
          </w:p>
        </w:tc>
        <w:tc>
          <w:tcPr>
            <w:tcW w:w="3895" w:type="dxa"/>
            <w:vAlign w:val="center"/>
          </w:tcPr>
          <w:p>
            <w:pPr>
              <w:jc w:val="center"/>
            </w:pPr>
          </w:p>
        </w:tc>
        <w:tc>
          <w:tcPr>
            <w:tcW w:w="1483" w:type="dxa"/>
            <w:vAlign w:val="center"/>
          </w:tcPr>
          <w:p>
            <w:pPr>
              <w:pStyle w:val="14"/>
              <w:ind w:firstLine="0" w:firstLineChars="0"/>
              <w:jc w:val="center"/>
            </w:pPr>
          </w:p>
        </w:tc>
        <w:tc>
          <w:tcPr>
            <w:tcW w:w="1058" w:type="dxa"/>
            <w:vAlign w:val="center"/>
          </w:tcPr>
          <w:p>
            <w:pPr>
              <w:pStyle w:val="14"/>
              <w:ind w:firstLine="0" w:firstLineChars="0"/>
              <w:jc w:val="center"/>
            </w:pPr>
          </w:p>
        </w:tc>
        <w:tc>
          <w:tcPr>
            <w:tcW w:w="1453" w:type="dxa"/>
            <w:vAlign w:val="center"/>
          </w:tcPr>
          <w:p>
            <w:pPr>
              <w:pStyle w:val="14"/>
              <w:ind w:firstLine="0" w:firstLineChars="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Ansi="宋体"/>
                <w:szCs w:val="21"/>
              </w:rPr>
            </w:pPr>
            <w:r>
              <w:rPr>
                <w:rFonts w:hint="eastAsia" w:hAnsi="宋体"/>
                <w:szCs w:val="21"/>
              </w:rPr>
              <w:t>6</w:t>
            </w:r>
          </w:p>
        </w:tc>
        <w:tc>
          <w:tcPr>
            <w:tcW w:w="987" w:type="dxa"/>
            <w:vAlign w:val="center"/>
          </w:tcPr>
          <w:p>
            <w:pPr>
              <w:jc w:val="center"/>
            </w:pPr>
          </w:p>
        </w:tc>
        <w:tc>
          <w:tcPr>
            <w:tcW w:w="3895" w:type="dxa"/>
            <w:vAlign w:val="center"/>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rPr>
                <w:rFonts w:ascii="宋体" w:hAnsi="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Ansi="宋体"/>
                <w:szCs w:val="21"/>
              </w:rPr>
            </w:pPr>
            <w:r>
              <w:rPr>
                <w:rFonts w:hint="eastAsia" w:hAnsi="宋体"/>
                <w:szCs w:val="21"/>
              </w:rPr>
              <w:t>7</w:t>
            </w:r>
          </w:p>
        </w:tc>
        <w:tc>
          <w:tcPr>
            <w:tcW w:w="987" w:type="dxa"/>
            <w:vAlign w:val="center"/>
          </w:tcPr>
          <w:p>
            <w:pPr>
              <w:jc w:val="center"/>
            </w:pPr>
          </w:p>
        </w:tc>
        <w:tc>
          <w:tcPr>
            <w:tcW w:w="3895" w:type="dxa"/>
            <w:vAlign w:val="center"/>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Ansi="宋体"/>
                <w:szCs w:val="21"/>
              </w:rPr>
            </w:pPr>
            <w:r>
              <w:rPr>
                <w:rFonts w:hint="eastAsia" w:hAnsi="宋体"/>
                <w:szCs w:val="21"/>
              </w:rPr>
              <w:t>8</w:t>
            </w:r>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Ansi="宋体"/>
                <w:szCs w:val="21"/>
              </w:rPr>
            </w:pPr>
            <w:r>
              <w:rPr>
                <w:rFonts w:hint="eastAsia" w:hAnsi="宋体"/>
                <w:szCs w:val="21"/>
              </w:rPr>
              <w:t>9</w:t>
            </w:r>
          </w:p>
        </w:tc>
        <w:tc>
          <w:tcPr>
            <w:tcW w:w="987" w:type="dxa"/>
            <w:vAlign w:val="center"/>
          </w:tcPr>
          <w:p>
            <w:pPr>
              <w:jc w:val="center"/>
            </w:pPr>
          </w:p>
        </w:tc>
        <w:tc>
          <w:tcPr>
            <w:tcW w:w="3895" w:type="dxa"/>
            <w:vAlign w:val="center"/>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Ansi="宋体"/>
                <w:szCs w:val="21"/>
              </w:rPr>
            </w:pPr>
            <w:r>
              <w:rPr>
                <w:rFonts w:hint="eastAsia" w:hAnsi="宋体"/>
                <w:szCs w:val="21"/>
              </w:rPr>
              <w:t>10</w:t>
            </w:r>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int="eastAsia" w:hAnsi="宋体"/>
                <w:szCs w:val="21"/>
              </w:rPr>
            </w:pPr>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int="eastAsia" w:hAnsi="宋体"/>
                <w:szCs w:val="21"/>
              </w:rPr>
            </w:pPr>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int="eastAsia" w:hAnsi="宋体"/>
                <w:szCs w:val="21"/>
              </w:rPr>
            </w:pPr>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int="eastAsia" w:hAnsi="宋体"/>
                <w:szCs w:val="21"/>
              </w:rPr>
            </w:pPr>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int="eastAsia" w:hAnsi="宋体"/>
                <w:szCs w:val="21"/>
              </w:rPr>
            </w:pPr>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int="eastAsia" w:hAnsi="宋体"/>
                <w:szCs w:val="21"/>
              </w:rPr>
            </w:pPr>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int="eastAsia" w:hAnsi="宋体"/>
                <w:szCs w:val="21"/>
              </w:rPr>
            </w:pPr>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int="eastAsia" w:hAnsi="宋体"/>
                <w:szCs w:val="21"/>
              </w:rPr>
            </w:pPr>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4"/>
              <w:ind w:firstLine="0" w:firstLineChars="0"/>
              <w:jc w:val="center"/>
              <w:rPr>
                <w:rFonts w:hint="eastAsia" w:hAnsi="宋体"/>
                <w:szCs w:val="21"/>
              </w:rPr>
            </w:pPr>
            <w:bookmarkStart w:id="30" w:name="_GoBack"/>
            <w:bookmarkEnd w:id="30"/>
          </w:p>
        </w:tc>
        <w:tc>
          <w:tcPr>
            <w:tcW w:w="987" w:type="dxa"/>
            <w:vAlign w:val="center"/>
          </w:tcPr>
          <w:p>
            <w:pPr>
              <w:jc w:val="center"/>
            </w:pPr>
          </w:p>
        </w:tc>
        <w:tc>
          <w:tcPr>
            <w:tcW w:w="3895" w:type="dxa"/>
          </w:tcPr>
          <w:p>
            <w:pPr>
              <w:jc w:val="center"/>
            </w:pPr>
          </w:p>
        </w:tc>
        <w:tc>
          <w:tcPr>
            <w:tcW w:w="1483"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jc w:val="center"/>
              <w:rPr>
                <w:rFonts w:hAnsi="宋体"/>
                <w:szCs w:val="21"/>
              </w:rPr>
            </w:pPr>
            <w:r>
              <w:rPr>
                <w:rFonts w:hint="eastAsia" w:hAnsi="宋体"/>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rPr>
                <w:rFonts w:hAnsi="宋体"/>
                <w:szCs w:val="21"/>
              </w:rPr>
            </w:pPr>
            <w:r>
              <w:rPr>
                <w:rFonts w:hint="eastAsia" w:hAnsi="宋体"/>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440" w:lineRule="exact"/>
              <w:contextualSpacing/>
              <w:rPr>
                <w:rFonts w:hAnsi="宋体"/>
                <w:szCs w:val="21"/>
              </w:rPr>
            </w:pPr>
            <w:r>
              <w:rPr>
                <w:rFonts w:hint="eastAsia" w:ascii="Times New Roman"/>
                <w:szCs w:val="24"/>
              </w:rPr>
              <w:t>202</w:t>
            </w:r>
            <w:r>
              <w:rPr>
                <w:rFonts w:ascii="Times New Roman"/>
                <w:szCs w:val="24"/>
              </w:rPr>
              <w:t>3</w:t>
            </w:r>
            <w:r>
              <w:rPr>
                <w:rFonts w:hint="eastAsia" w:ascii="Times New Roman"/>
                <w:szCs w:val="24"/>
              </w:rPr>
              <w:t>年</w:t>
            </w:r>
            <w:r>
              <w:rPr>
                <w:rFonts w:ascii="Times New Roman"/>
                <w:szCs w:val="24"/>
              </w:rPr>
              <w:t>8</w:t>
            </w:r>
            <w:r>
              <w:rPr>
                <w:rFonts w:hint="eastAsia" w:ascii="Times New Roman"/>
                <w:szCs w:val="24"/>
              </w:rPr>
              <w:t>月，收到安徽省市场监督管理局《安徽省市场监督管理局关于下达202</w:t>
            </w:r>
            <w:r>
              <w:rPr>
                <w:rFonts w:ascii="Times New Roman"/>
                <w:szCs w:val="24"/>
              </w:rPr>
              <w:t>3</w:t>
            </w:r>
            <w:r>
              <w:rPr>
                <w:rFonts w:hint="eastAsia" w:ascii="Times New Roman"/>
                <w:szCs w:val="24"/>
              </w:rPr>
              <w:t>年第一批安徽省地方标准制修订计划的通知》（皖</w:t>
            </w:r>
            <w:r>
              <w:rPr>
                <w:rFonts w:ascii="Times New Roman"/>
                <w:szCs w:val="24"/>
              </w:rPr>
              <w:t>市监</w:t>
            </w:r>
            <w:r>
              <w:rPr>
                <w:rFonts w:hint="eastAsia" w:ascii="Times New Roman"/>
                <w:szCs w:val="24"/>
              </w:rPr>
              <w:t>函</w:t>
            </w:r>
            <w:r>
              <w:rPr>
                <w:rFonts w:ascii="Times New Roman"/>
                <w:szCs w:val="24"/>
              </w:rPr>
              <w:t>〔2023〕414 号</w:t>
            </w:r>
            <w:r>
              <w:rPr>
                <w:rFonts w:hint="eastAsia" w:ascii="Times New Roman"/>
                <w:szCs w:val="24"/>
              </w:rPr>
              <w:t>）（202</w:t>
            </w:r>
            <w:r>
              <w:rPr>
                <w:rFonts w:ascii="Times New Roman"/>
                <w:szCs w:val="24"/>
              </w:rPr>
              <w:t>3</w:t>
            </w:r>
            <w:r>
              <w:rPr>
                <w:rFonts w:hint="eastAsia" w:ascii="Times New Roman"/>
                <w:szCs w:val="24"/>
              </w:rPr>
              <w:t>-1-9），项目正式启动。</w:t>
            </w:r>
          </w:p>
          <w:p>
            <w:pPr>
              <w:pStyle w:val="14"/>
              <w:adjustRightInd w:val="0"/>
              <w:spacing w:line="440" w:lineRule="exact"/>
              <w:contextualSpacing/>
              <w:rPr>
                <w:rFonts w:ascii="Times New Roman"/>
              </w:rPr>
            </w:pPr>
            <w:r>
              <w:rPr>
                <w:rFonts w:hint="eastAsia" w:ascii="Times New Roman"/>
                <w:szCs w:val="24"/>
              </w:rPr>
              <w:t>标准起草过程：202</w:t>
            </w:r>
            <w:r>
              <w:rPr>
                <w:rFonts w:ascii="Times New Roman"/>
                <w:szCs w:val="24"/>
              </w:rPr>
              <w:t>3</w:t>
            </w:r>
            <w:r>
              <w:rPr>
                <w:rFonts w:hint="eastAsia" w:ascii="Times New Roman"/>
                <w:szCs w:val="24"/>
              </w:rPr>
              <w:t>年9月安徽省交通控股集团有限公司成立了标准编写组；202</w:t>
            </w:r>
            <w:r>
              <w:rPr>
                <w:rFonts w:ascii="Times New Roman"/>
                <w:szCs w:val="24"/>
              </w:rPr>
              <w:t>3</w:t>
            </w:r>
            <w:r>
              <w:rPr>
                <w:rFonts w:hint="eastAsia" w:ascii="Times New Roman"/>
                <w:szCs w:val="24"/>
              </w:rPr>
              <w:t>年</w:t>
            </w:r>
            <w:r>
              <w:rPr>
                <w:rFonts w:ascii="Times New Roman"/>
                <w:szCs w:val="24"/>
              </w:rPr>
              <w:t>10</w:t>
            </w:r>
            <w:r>
              <w:rPr>
                <w:rFonts w:hint="eastAsia" w:ascii="Times New Roman"/>
                <w:szCs w:val="24"/>
              </w:rPr>
              <w:t>月组织调研；202</w:t>
            </w:r>
            <w:r>
              <w:rPr>
                <w:rFonts w:ascii="Times New Roman"/>
                <w:szCs w:val="24"/>
              </w:rPr>
              <w:t>4</w:t>
            </w:r>
            <w:r>
              <w:rPr>
                <w:rFonts w:hint="eastAsia" w:ascii="Times New Roman"/>
                <w:szCs w:val="24"/>
              </w:rPr>
              <w:t>年</w:t>
            </w:r>
            <w:r>
              <w:rPr>
                <w:rFonts w:ascii="Times New Roman"/>
                <w:szCs w:val="24"/>
              </w:rPr>
              <w:t>4</w:t>
            </w:r>
            <w:r>
              <w:rPr>
                <w:rFonts w:hint="eastAsia" w:ascii="Times New Roman"/>
                <w:szCs w:val="24"/>
              </w:rPr>
              <w:t>月完成初稿编制；202</w:t>
            </w:r>
            <w:r>
              <w:rPr>
                <w:rFonts w:ascii="Times New Roman"/>
                <w:szCs w:val="24"/>
              </w:rPr>
              <w:t>4</w:t>
            </w:r>
            <w:r>
              <w:rPr>
                <w:rFonts w:hint="eastAsia" w:ascii="Times New Roman"/>
                <w:szCs w:val="24"/>
              </w:rPr>
              <w:t>年</w:t>
            </w:r>
            <w:r>
              <w:rPr>
                <w:rFonts w:ascii="Times New Roman"/>
                <w:szCs w:val="24"/>
              </w:rPr>
              <w:t>9</w:t>
            </w:r>
            <w:r>
              <w:rPr>
                <w:rFonts w:hint="eastAsia" w:ascii="Times New Roman"/>
                <w:szCs w:val="24"/>
              </w:rPr>
              <w:t>月组织多次内部讨论，并结合实际进行验证，修改完善内部讨论稿；202</w:t>
            </w:r>
            <w:r>
              <w:rPr>
                <w:rFonts w:ascii="Times New Roman"/>
                <w:szCs w:val="24"/>
              </w:rPr>
              <w:t>4</w:t>
            </w:r>
            <w:r>
              <w:rPr>
                <w:rFonts w:hint="eastAsia" w:ascii="Times New Roman"/>
                <w:szCs w:val="24"/>
              </w:rPr>
              <w:t>年1月-</w:t>
            </w:r>
            <w:r>
              <w:rPr>
                <w:rFonts w:ascii="Times New Roman"/>
                <w:szCs w:val="24"/>
              </w:rPr>
              <w:t>9</w:t>
            </w:r>
            <w:r>
              <w:rPr>
                <w:rFonts w:hint="eastAsia" w:ascii="Times New Roman"/>
                <w:szCs w:val="24"/>
              </w:rPr>
              <w:t>月，经过3次内部审查修改，形成标准修订征求意见稿草案；202</w:t>
            </w:r>
            <w:r>
              <w:rPr>
                <w:rFonts w:ascii="Times New Roman"/>
                <w:szCs w:val="24"/>
              </w:rPr>
              <w:t>4</w:t>
            </w:r>
            <w:r>
              <w:rPr>
                <w:rFonts w:hint="eastAsia" w:ascii="Times New Roman"/>
                <w:szCs w:val="24"/>
              </w:rPr>
              <w:t>年</w:t>
            </w:r>
            <w:r>
              <w:rPr>
                <w:rFonts w:ascii="Times New Roman"/>
                <w:szCs w:val="24"/>
              </w:rPr>
              <w:t>10</w:t>
            </w:r>
            <w:r>
              <w:rPr>
                <w:rFonts w:hint="eastAsia" w:ascii="Times New Roman"/>
                <w:szCs w:val="24"/>
              </w:rPr>
              <w:t>月组织召开地方标准征求意见稿草案评审会，根据专家的意见完善征求意见稿。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rPr>
                <w:rFonts w:hAnsi="宋体"/>
                <w:szCs w:val="21"/>
              </w:rPr>
            </w:pPr>
            <w:r>
              <w:rPr>
                <w:rFonts w:hint="eastAsia" w:hAnsi="宋体"/>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widowControl/>
              <w:autoSpaceDE w:val="0"/>
              <w:autoSpaceDN w:val="0"/>
              <w:spacing w:line="440" w:lineRule="exact"/>
              <w:ind w:firstLine="420" w:firstLineChars="200"/>
              <w:contextualSpacing/>
              <w:rPr>
                <w:rFonts w:ascii="Times New Roman" w:hAnsi="Times New Roman"/>
                <w:kern w:val="0"/>
                <w:szCs w:val="24"/>
              </w:rPr>
            </w:pPr>
            <w:r>
              <w:rPr>
                <w:rFonts w:hint="eastAsia" w:ascii="Times New Roman" w:hAnsi="Times New Roman"/>
                <w:kern w:val="0"/>
                <w:szCs w:val="24"/>
              </w:rPr>
              <w:t>必要性：新版《公路沥青路面养护设计规范》（JTG5421-2018）建立了公路沥青路面养护设计技术体系，提出了系统的分析及设计方法。</w:t>
            </w:r>
          </w:p>
          <w:p>
            <w:pPr>
              <w:pStyle w:val="14"/>
              <w:adjustRightInd w:val="0"/>
              <w:spacing w:line="440" w:lineRule="exact"/>
              <w:contextualSpacing/>
              <w:rPr>
                <w:rFonts w:hAnsi="宋体"/>
                <w:szCs w:val="21"/>
              </w:rPr>
            </w:pPr>
            <w:r>
              <w:rPr>
                <w:rFonts w:hint="eastAsia" w:ascii="Times New Roman"/>
                <w:szCs w:val="24"/>
              </w:rPr>
              <w:t>意义：针对我省高速公路路面状况特点，运用最新检测设备和理论成果，在满足行业设计标准的前提下，结合近年安徽省高速公路沥青路面养护管理经验和设计总结，编制一套具有指导和规范意义的路面养护设计标准，实现安徽省高速公路沥青路面服务质量的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spacing w:line="440" w:lineRule="exact"/>
              <w:ind w:firstLine="420" w:firstLineChars="200"/>
            </w:pPr>
            <w:r>
              <w:rPr>
                <w:rFonts w:hint="eastAsia"/>
              </w:rPr>
              <w:t>本标准是在充分调研了省内高速技术状况评定及应用的基础上制定，并参考了部分国家</w:t>
            </w:r>
            <w:r>
              <w:t>行业</w:t>
            </w:r>
            <w:r>
              <w:rPr>
                <w:rFonts w:hint="eastAsia"/>
              </w:rPr>
              <w:t>标准。标准的制定既充分考虑了现有相关标准</w:t>
            </w:r>
            <w:r>
              <w:t>内容</w:t>
            </w:r>
            <w:r>
              <w:rPr>
                <w:rFonts w:hint="eastAsia"/>
              </w:rPr>
              <w:t>，同时</w:t>
            </w:r>
            <w:r>
              <w:t>对</w:t>
            </w:r>
            <w:r>
              <w:rPr>
                <w:rFonts w:hint="eastAsia"/>
              </w:rPr>
              <w:t>路面养护指标进行了丰富和优化。本标准在制定，引用了部分有关联内容的国家行业标准，是对现有国家行业标准的重要补充。</w:t>
            </w:r>
          </w:p>
          <w:p>
            <w:pPr>
              <w:spacing w:line="440" w:lineRule="exact"/>
              <w:ind w:firstLine="420" w:firstLineChars="200"/>
              <w:rPr>
                <w:rFonts w:ascii="宋体" w:hAnsi="Times New Roman"/>
                <w:kern w:val="0"/>
                <w:szCs w:val="20"/>
              </w:rPr>
            </w:pPr>
            <w:r>
              <w:rPr>
                <w:rFonts w:hint="eastAsia"/>
              </w:rPr>
              <w:t>本标准与现行相关法律、法规、规章及相关标准协调一致。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w:t>
            </w:r>
            <w:r>
              <w:rPr>
                <w:rFonts w:hint="eastAsia" w:hAnsi="宋体"/>
                <w:b/>
                <w:szCs w:val="21"/>
              </w:rPr>
              <w:t>详细说明</w:t>
            </w:r>
            <w:r>
              <w:rPr>
                <w:rFonts w:hint="eastAsia"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widowControl w:val="0"/>
              <w:autoSpaceDE/>
              <w:autoSpaceDN/>
              <w:adjustRightInd w:val="0"/>
              <w:spacing w:line="440" w:lineRule="exact"/>
              <w:rPr>
                <w:rFonts w:ascii="Calibri" w:hAnsi="Calibri"/>
                <w:kern w:val="2"/>
                <w:szCs w:val="21"/>
              </w:rPr>
            </w:pPr>
            <w:r>
              <w:rPr>
                <w:rFonts w:hint="eastAsia" w:ascii="Calibri" w:hAnsi="Calibri"/>
                <w:kern w:val="2"/>
                <w:szCs w:val="21"/>
              </w:rPr>
              <w:t>本次修订主要条款：</w:t>
            </w:r>
          </w:p>
          <w:p>
            <w:pPr>
              <w:spacing w:line="440" w:lineRule="exact"/>
              <w:ind w:firstLine="420" w:firstLineChars="200"/>
            </w:pPr>
            <w:r>
              <w:rPr>
                <w:rFonts w:hint="eastAsia"/>
              </w:rPr>
              <w:t>除编辑性修改外，主要修订内容如下：</w:t>
            </w:r>
          </w:p>
          <w:p>
            <w:pPr>
              <w:spacing w:line="440" w:lineRule="exact"/>
              <w:ind w:firstLine="420" w:firstLineChars="200"/>
            </w:pPr>
            <w:r>
              <w:rPr>
                <w:rFonts w:hint="eastAsia"/>
              </w:rPr>
              <w:t>1、范围中，“大中修养护”修改为“功能性养护”，增加“功能性养护”。</w:t>
            </w:r>
          </w:p>
          <w:p>
            <w:pPr>
              <w:spacing w:line="440" w:lineRule="exact"/>
              <w:ind w:firstLine="420" w:firstLineChars="200"/>
            </w:pPr>
            <w:r>
              <w:rPr>
                <w:rFonts w:hint="eastAsia"/>
              </w:rPr>
              <w:t>2、规范性引用文件“</w:t>
            </w:r>
            <w:r>
              <w:rPr>
                <w:rFonts w:hAnsi="宋体" w:cs="宋体"/>
              </w:rPr>
              <w:t>JTG</w:t>
            </w:r>
            <w:r>
              <w:rPr>
                <w:rFonts w:hAnsi="宋体" w:cs="宋体"/>
                <w:spacing w:val="-1"/>
              </w:rPr>
              <w:t xml:space="preserve"> </w:t>
            </w:r>
            <w:r>
              <w:rPr>
                <w:rFonts w:hAnsi="宋体" w:cs="宋体"/>
              </w:rPr>
              <w:t>E42</w:t>
            </w:r>
            <w:r>
              <w:rPr>
                <w:rFonts w:hint="eastAsia"/>
              </w:rPr>
              <w:t>”</w:t>
            </w:r>
            <w:r>
              <w:rPr>
                <w:rFonts w:hint="eastAsia" w:hAnsi="宋体" w:cs="宋体"/>
              </w:rPr>
              <w:t>更新为</w:t>
            </w:r>
            <w:r>
              <w:rPr>
                <w:rFonts w:hint="eastAsia"/>
              </w:rPr>
              <w:t>“</w:t>
            </w:r>
            <w:r>
              <w:rPr>
                <w:rFonts w:hAnsi="宋体" w:cs="宋体"/>
              </w:rPr>
              <w:t>JTG 3432</w:t>
            </w:r>
            <w:r>
              <w:rPr>
                <w:rFonts w:hint="eastAsia"/>
              </w:rPr>
              <w:t>”</w:t>
            </w:r>
            <w:r>
              <w:rPr>
                <w:rFonts w:hint="eastAsia" w:hAnsi="宋体" w:cs="宋体"/>
              </w:rPr>
              <w:t>；</w:t>
            </w:r>
            <w:r>
              <w:rPr>
                <w:rFonts w:hint="eastAsia"/>
              </w:rPr>
              <w:t>“</w:t>
            </w:r>
            <w:r>
              <w:rPr>
                <w:rFonts w:hAnsi="宋体" w:cs="宋体"/>
              </w:rPr>
              <w:t>JTG</w:t>
            </w:r>
            <w:r>
              <w:rPr>
                <w:rFonts w:hAnsi="宋体" w:cs="宋体"/>
                <w:spacing w:val="-1"/>
              </w:rPr>
              <w:t xml:space="preserve"> </w:t>
            </w:r>
            <w:r>
              <w:rPr>
                <w:rFonts w:hAnsi="宋体" w:cs="宋体"/>
              </w:rPr>
              <w:t>E51</w:t>
            </w:r>
            <w:r>
              <w:rPr>
                <w:rFonts w:hint="eastAsia"/>
              </w:rPr>
              <w:t>”</w:t>
            </w:r>
            <w:r>
              <w:rPr>
                <w:rFonts w:hint="eastAsia" w:hAnsi="宋体" w:cs="宋体"/>
              </w:rPr>
              <w:t>更新为</w:t>
            </w:r>
            <w:r>
              <w:rPr>
                <w:rFonts w:hint="eastAsia"/>
              </w:rPr>
              <w:t>“</w:t>
            </w:r>
            <w:r>
              <w:rPr>
                <w:rFonts w:hAnsi="宋体" w:cs="宋体"/>
              </w:rPr>
              <w:t>JTG 3441</w:t>
            </w:r>
            <w:r>
              <w:rPr>
                <w:rFonts w:hint="eastAsia"/>
              </w:rPr>
              <w:t>”</w:t>
            </w:r>
            <w:r>
              <w:rPr>
                <w:rFonts w:hint="eastAsia" w:hAnsi="宋体" w:cs="宋体"/>
              </w:rPr>
              <w:t>；</w:t>
            </w:r>
            <w:r>
              <w:rPr>
                <w:rFonts w:hint="eastAsia"/>
              </w:rPr>
              <w:t>“</w:t>
            </w:r>
            <w:r>
              <w:rPr>
                <w:rFonts w:hAnsi="宋体" w:cs="宋体"/>
              </w:rPr>
              <w:t>JTG</w:t>
            </w:r>
            <w:r>
              <w:rPr>
                <w:rFonts w:hAnsi="宋体" w:cs="宋体"/>
                <w:spacing w:val="-1"/>
              </w:rPr>
              <w:t xml:space="preserve"> </w:t>
            </w:r>
            <w:r>
              <w:rPr>
                <w:rFonts w:hAnsi="宋体" w:cs="宋体"/>
              </w:rPr>
              <w:t>E60</w:t>
            </w:r>
            <w:r>
              <w:rPr>
                <w:rFonts w:hint="eastAsia"/>
              </w:rPr>
              <w:t>”</w:t>
            </w:r>
            <w:r>
              <w:rPr>
                <w:rFonts w:hint="eastAsia" w:hAnsi="宋体" w:cs="宋体"/>
              </w:rPr>
              <w:t>更新为</w:t>
            </w:r>
            <w:r>
              <w:rPr>
                <w:rFonts w:hint="eastAsia"/>
              </w:rPr>
              <w:t>“</w:t>
            </w:r>
            <w:r>
              <w:rPr>
                <w:rFonts w:hAnsi="宋体" w:cs="宋体"/>
              </w:rPr>
              <w:t>JTG 3450</w:t>
            </w:r>
            <w:r>
              <w:rPr>
                <w:rFonts w:hint="eastAsia"/>
              </w:rPr>
              <w:t>”</w:t>
            </w:r>
            <w:r>
              <w:rPr>
                <w:rFonts w:hint="eastAsia" w:hAnsi="宋体" w:cs="宋体"/>
              </w:rPr>
              <w:t>。</w:t>
            </w:r>
          </w:p>
          <w:p>
            <w:pPr>
              <w:spacing w:line="440" w:lineRule="exact"/>
              <w:ind w:firstLine="420" w:firstLineChars="200"/>
            </w:pPr>
            <w:r>
              <w:rPr>
                <w:rFonts w:hint="eastAsia"/>
              </w:rPr>
              <w:t>3、术语中，删除“预防性养护”</w:t>
            </w:r>
            <w:r>
              <w:t>（见3.1）</w:t>
            </w:r>
            <w:r>
              <w:rPr>
                <w:rFonts w:hint="eastAsia"/>
              </w:rPr>
              <w:t>。</w:t>
            </w:r>
          </w:p>
          <w:p>
            <w:pPr>
              <w:spacing w:line="440" w:lineRule="exact"/>
              <w:ind w:firstLine="420" w:firstLineChars="200"/>
            </w:pPr>
            <w:r>
              <w:t>4</w:t>
            </w:r>
            <w:r>
              <w:rPr>
                <w:rFonts w:hint="eastAsia"/>
              </w:rPr>
              <w:t>、设计原则中，5</w:t>
            </w:r>
            <w:r>
              <w:t>.2</w:t>
            </w:r>
            <w:r>
              <w:rPr>
                <w:rFonts w:hint="eastAsia"/>
              </w:rPr>
              <w:t>、5</w:t>
            </w:r>
            <w:r>
              <w:t>.3</w:t>
            </w:r>
            <w:r>
              <w:rPr>
                <w:rFonts w:hint="eastAsia"/>
              </w:rPr>
              <w:t>、5</w:t>
            </w:r>
            <w:r>
              <w:t>.4</w:t>
            </w:r>
            <w:r>
              <w:rPr>
                <w:rFonts w:hint="eastAsia"/>
              </w:rPr>
              <w:t>有调整，删除原规范中5</w:t>
            </w:r>
            <w:r>
              <w:t>.5</w:t>
            </w:r>
            <w:r>
              <w:rPr>
                <w:rFonts w:hint="eastAsia"/>
              </w:rPr>
              <w:t>。</w:t>
            </w:r>
          </w:p>
          <w:p>
            <w:pPr>
              <w:spacing w:line="440" w:lineRule="exact"/>
              <w:ind w:firstLine="420" w:firstLineChars="200"/>
            </w:pPr>
            <w:r>
              <w:t>5</w:t>
            </w:r>
            <w:r>
              <w:rPr>
                <w:rFonts w:hint="eastAsia"/>
              </w:rPr>
              <w:t>、修改原规范中7</w:t>
            </w:r>
            <w:r>
              <w:t>.1.1</w:t>
            </w:r>
            <w:r>
              <w:rPr>
                <w:rFonts w:hint="eastAsia"/>
              </w:rPr>
              <w:t>和7</w:t>
            </w:r>
            <w:r>
              <w:t>.1.2</w:t>
            </w:r>
            <w:r>
              <w:rPr>
                <w:rFonts w:hint="eastAsia"/>
              </w:rPr>
              <w:t>，（见新规范中7</w:t>
            </w:r>
            <w:r>
              <w:t>.1.1</w:t>
            </w:r>
            <w:r>
              <w:rPr>
                <w:rFonts w:hint="eastAsia"/>
              </w:rPr>
              <w:t>和7</w:t>
            </w:r>
            <w:r>
              <w:t>.1.2</w:t>
            </w:r>
            <w:r>
              <w:rPr>
                <w:rFonts w:hint="eastAsia"/>
              </w:rPr>
              <w:t>）。</w:t>
            </w:r>
          </w:p>
          <w:p>
            <w:pPr>
              <w:pStyle w:val="2"/>
              <w:spacing w:after="0" w:line="440" w:lineRule="exact"/>
              <w:ind w:firstLine="420" w:firstLineChars="200"/>
            </w:pPr>
            <w:r>
              <w:rPr>
                <w:rFonts w:hint="eastAsia"/>
              </w:rPr>
              <w:t>6、修改原规范中8</w:t>
            </w:r>
            <w:r>
              <w:t>.2.2</w:t>
            </w:r>
            <w:r>
              <w:rPr>
                <w:rFonts w:hint="eastAsia"/>
              </w:rPr>
              <w:t>释义，（见新规范中8</w:t>
            </w:r>
            <w:r>
              <w:t>.2.2</w:t>
            </w:r>
            <w:r>
              <w:rPr>
                <w:rFonts w:hint="eastAsia"/>
              </w:rPr>
              <w:t>）。</w:t>
            </w:r>
          </w:p>
          <w:p>
            <w:pPr>
              <w:pStyle w:val="2"/>
              <w:spacing w:after="0" w:line="440" w:lineRule="exact"/>
              <w:ind w:firstLine="420" w:firstLineChars="200"/>
            </w:pPr>
            <w:r>
              <w:rPr>
                <w:rFonts w:hint="eastAsia"/>
              </w:rPr>
              <w:t>7、修改了原规范9</w:t>
            </w:r>
            <w:r>
              <w:t>.2</w:t>
            </w:r>
            <w:r>
              <w:rPr>
                <w:rFonts w:hint="eastAsia"/>
              </w:rPr>
              <w:t>中检测方法，（见新规范9</w:t>
            </w:r>
            <w:r>
              <w:t>.2</w:t>
            </w:r>
            <w:r>
              <w:rPr>
                <w:rFonts w:hint="eastAsia"/>
              </w:rPr>
              <w:t>）。</w:t>
            </w:r>
          </w:p>
          <w:p>
            <w:pPr>
              <w:pStyle w:val="2"/>
              <w:spacing w:after="0" w:line="440" w:lineRule="exact"/>
              <w:ind w:firstLine="420" w:firstLineChars="200"/>
            </w:pPr>
            <w:r>
              <w:rPr>
                <w:rFonts w:hint="eastAsia"/>
              </w:rPr>
              <w:t>8、增加1</w:t>
            </w:r>
            <w:r>
              <w:t>0.1.1</w:t>
            </w:r>
            <w:r>
              <w:rPr>
                <w:rFonts w:hint="eastAsia"/>
              </w:rPr>
              <w:t>和1</w:t>
            </w:r>
            <w:r>
              <w:t>0.1.2</w:t>
            </w:r>
            <w:r>
              <w:rPr>
                <w:rFonts w:hint="eastAsia"/>
              </w:rPr>
              <w:t>，（见新规范1</w:t>
            </w:r>
            <w:r>
              <w:t>0.1.1</w:t>
            </w:r>
            <w:r>
              <w:rPr>
                <w:rFonts w:hint="eastAsia"/>
              </w:rPr>
              <w:t>和1</w:t>
            </w:r>
            <w:r>
              <w:t>0.1.2</w:t>
            </w:r>
            <w:r>
              <w:rPr>
                <w:rFonts w:hint="eastAsia"/>
              </w:rPr>
              <w:t>）。</w:t>
            </w:r>
          </w:p>
          <w:p>
            <w:pPr>
              <w:pStyle w:val="2"/>
              <w:spacing w:after="0" w:line="440" w:lineRule="exact"/>
              <w:ind w:firstLine="420" w:firstLineChars="200"/>
            </w:pPr>
            <w:r>
              <w:rPr>
                <w:rFonts w:hint="eastAsia"/>
              </w:rPr>
              <w:t>9、修改了1</w:t>
            </w:r>
            <w:r>
              <w:t>0.2.3.3</w:t>
            </w:r>
            <w:r>
              <w:rPr>
                <w:rFonts w:hint="eastAsia"/>
              </w:rPr>
              <w:t>释义，（见新规范1</w:t>
            </w:r>
            <w:r>
              <w:t>0.2.3.3</w:t>
            </w:r>
            <w:r>
              <w:rPr>
                <w:rFonts w:hint="eastAsia"/>
              </w:rPr>
              <w:t>）。</w:t>
            </w:r>
          </w:p>
          <w:p>
            <w:pPr>
              <w:pStyle w:val="2"/>
              <w:spacing w:after="0" w:line="440" w:lineRule="exact"/>
              <w:ind w:firstLine="420" w:firstLineChars="200"/>
            </w:pPr>
            <w:r>
              <w:rPr>
                <w:rFonts w:hint="eastAsia"/>
              </w:rPr>
              <w:t>1</w:t>
            </w:r>
            <w:r>
              <w:t>0</w:t>
            </w:r>
            <w:r>
              <w:rPr>
                <w:rFonts w:hint="eastAsia"/>
              </w:rPr>
              <w:t>、增加</w:t>
            </w:r>
            <w:r>
              <w:t>10.4.1</w:t>
            </w:r>
            <w:r>
              <w:rPr>
                <w:rFonts w:hint="eastAsia"/>
              </w:rPr>
              <w:t>、1</w:t>
            </w:r>
            <w:r>
              <w:t>0.4.2</w:t>
            </w:r>
            <w:r>
              <w:rPr>
                <w:rFonts w:hint="eastAsia"/>
              </w:rPr>
              <w:t>，（见新规范</w:t>
            </w:r>
            <w:r>
              <w:t>10.4.1</w:t>
            </w:r>
            <w:r>
              <w:rPr>
                <w:rFonts w:hint="eastAsia"/>
              </w:rPr>
              <w:t>、1</w:t>
            </w:r>
            <w:r>
              <w:t>0.4.2</w:t>
            </w:r>
            <w:r>
              <w:rPr>
                <w:rFonts w:hint="eastAsia"/>
              </w:rPr>
              <w:t>）。</w:t>
            </w:r>
          </w:p>
          <w:p>
            <w:pPr>
              <w:spacing w:line="440" w:lineRule="exact"/>
              <w:ind w:firstLine="420" w:firstLineChars="200"/>
            </w:pPr>
            <w:r>
              <w:rPr>
                <w:rFonts w:hint="eastAsia"/>
              </w:rPr>
              <w:t>具体修订内容：</w:t>
            </w:r>
          </w:p>
          <w:p>
            <w:pPr>
              <w:spacing w:line="440" w:lineRule="exact"/>
              <w:ind w:firstLine="420" w:firstLineChars="200"/>
            </w:pPr>
            <w:r>
              <w:rPr>
                <w:rFonts w:hint="eastAsia"/>
              </w:rPr>
              <w:t>1、章节1中“大中修养护”修改为“功能性养护”，增加“功能性养护”。</w:t>
            </w:r>
          </w:p>
          <w:p>
            <w:pPr>
              <w:spacing w:line="440" w:lineRule="exact"/>
              <w:ind w:firstLine="420" w:firstLineChars="200"/>
            </w:pPr>
            <w:r>
              <w:rPr>
                <w:rFonts w:hint="eastAsia"/>
              </w:rPr>
              <w:t>2、章节2中，规范性引用文件“</w:t>
            </w:r>
            <w:r>
              <w:rPr>
                <w:rFonts w:hAnsi="宋体" w:cs="宋体"/>
              </w:rPr>
              <w:t>JTG</w:t>
            </w:r>
            <w:r>
              <w:rPr>
                <w:rFonts w:hAnsi="宋体" w:cs="宋体"/>
                <w:spacing w:val="-1"/>
              </w:rPr>
              <w:t xml:space="preserve"> </w:t>
            </w:r>
            <w:r>
              <w:rPr>
                <w:rFonts w:hAnsi="宋体" w:cs="宋体"/>
              </w:rPr>
              <w:t>E42</w:t>
            </w:r>
            <w:r>
              <w:rPr>
                <w:rFonts w:hint="eastAsia"/>
              </w:rPr>
              <w:t>”</w:t>
            </w:r>
            <w:r>
              <w:rPr>
                <w:rFonts w:hint="eastAsia" w:hAnsi="宋体" w:cs="宋体"/>
              </w:rPr>
              <w:t>更新为</w:t>
            </w:r>
            <w:r>
              <w:rPr>
                <w:rFonts w:hint="eastAsia"/>
              </w:rPr>
              <w:t>“</w:t>
            </w:r>
            <w:r>
              <w:rPr>
                <w:rFonts w:hAnsi="宋体" w:cs="宋体"/>
              </w:rPr>
              <w:t>JTG 3432</w:t>
            </w:r>
            <w:r>
              <w:rPr>
                <w:rFonts w:hint="eastAsia"/>
              </w:rPr>
              <w:t>”</w:t>
            </w:r>
            <w:r>
              <w:rPr>
                <w:rFonts w:hint="eastAsia" w:hAnsi="宋体" w:cs="宋体"/>
              </w:rPr>
              <w:t>；</w:t>
            </w:r>
            <w:r>
              <w:rPr>
                <w:rFonts w:hint="eastAsia"/>
              </w:rPr>
              <w:t>“</w:t>
            </w:r>
            <w:r>
              <w:rPr>
                <w:rFonts w:hAnsi="宋体" w:cs="宋体"/>
              </w:rPr>
              <w:t>JTG</w:t>
            </w:r>
            <w:r>
              <w:rPr>
                <w:rFonts w:hAnsi="宋体" w:cs="宋体"/>
                <w:spacing w:val="-1"/>
              </w:rPr>
              <w:t xml:space="preserve"> </w:t>
            </w:r>
            <w:r>
              <w:rPr>
                <w:rFonts w:hAnsi="宋体" w:cs="宋体"/>
              </w:rPr>
              <w:t>E51</w:t>
            </w:r>
            <w:r>
              <w:rPr>
                <w:rFonts w:hint="eastAsia"/>
              </w:rPr>
              <w:t>”</w:t>
            </w:r>
            <w:r>
              <w:rPr>
                <w:rFonts w:hint="eastAsia" w:hAnsi="宋体" w:cs="宋体"/>
              </w:rPr>
              <w:t>更新为</w:t>
            </w:r>
            <w:r>
              <w:rPr>
                <w:rFonts w:hint="eastAsia"/>
              </w:rPr>
              <w:t>“</w:t>
            </w:r>
            <w:r>
              <w:rPr>
                <w:rFonts w:hAnsi="宋体" w:cs="宋体"/>
              </w:rPr>
              <w:t>JTG 3441</w:t>
            </w:r>
            <w:r>
              <w:rPr>
                <w:rFonts w:hint="eastAsia"/>
              </w:rPr>
              <w:t>”</w:t>
            </w:r>
            <w:r>
              <w:rPr>
                <w:rFonts w:hint="eastAsia" w:hAnsi="宋体" w:cs="宋体"/>
              </w:rPr>
              <w:t>；</w:t>
            </w:r>
            <w:r>
              <w:rPr>
                <w:rFonts w:hint="eastAsia"/>
              </w:rPr>
              <w:t>“</w:t>
            </w:r>
            <w:r>
              <w:rPr>
                <w:rFonts w:hAnsi="宋体" w:cs="宋体"/>
              </w:rPr>
              <w:t>JTG</w:t>
            </w:r>
            <w:r>
              <w:rPr>
                <w:rFonts w:hAnsi="宋体" w:cs="宋体"/>
                <w:spacing w:val="-1"/>
              </w:rPr>
              <w:t xml:space="preserve"> </w:t>
            </w:r>
            <w:r>
              <w:rPr>
                <w:rFonts w:hAnsi="宋体" w:cs="宋体"/>
              </w:rPr>
              <w:t>E60</w:t>
            </w:r>
            <w:r>
              <w:rPr>
                <w:rFonts w:hint="eastAsia"/>
              </w:rPr>
              <w:t>”</w:t>
            </w:r>
            <w:r>
              <w:rPr>
                <w:rFonts w:hint="eastAsia" w:hAnsi="宋体" w:cs="宋体"/>
              </w:rPr>
              <w:t>更新为</w:t>
            </w:r>
            <w:r>
              <w:rPr>
                <w:rFonts w:hint="eastAsia"/>
              </w:rPr>
              <w:t>“</w:t>
            </w:r>
            <w:r>
              <w:rPr>
                <w:rFonts w:hAnsi="宋体" w:cs="宋体"/>
              </w:rPr>
              <w:t>JTG 3450</w:t>
            </w:r>
            <w:r>
              <w:rPr>
                <w:rFonts w:hint="eastAsia"/>
              </w:rPr>
              <w:t>”</w:t>
            </w:r>
            <w:r>
              <w:rPr>
                <w:rFonts w:hint="eastAsia" w:hAnsi="宋体" w:cs="宋体"/>
              </w:rPr>
              <w:t>。</w:t>
            </w:r>
          </w:p>
          <w:p>
            <w:pPr>
              <w:spacing w:line="440" w:lineRule="exact"/>
              <w:ind w:firstLine="420" w:firstLineChars="200"/>
            </w:pPr>
            <w:r>
              <w:rPr>
                <w:rFonts w:hint="eastAsia"/>
              </w:rPr>
              <w:t>3、章节3中，删除“预防性养护”。</w:t>
            </w:r>
          </w:p>
          <w:p>
            <w:pPr>
              <w:spacing w:line="440" w:lineRule="exact"/>
              <w:ind w:firstLine="420" w:firstLineChars="200"/>
            </w:pPr>
            <w:r>
              <w:rPr>
                <w:rFonts w:hint="eastAsia"/>
              </w:rPr>
              <w:t>4、章节5中，“5</w:t>
            </w:r>
            <w:r>
              <w:t>.2</w:t>
            </w:r>
            <w:r>
              <w:rPr>
                <w:rFonts w:hint="eastAsia"/>
              </w:rPr>
              <w:t>分段设计、分类处治”修改为“5</w:t>
            </w:r>
            <w:r>
              <w:t>.2</w:t>
            </w:r>
            <w:r>
              <w:rPr>
                <w:rFonts w:hint="eastAsia"/>
              </w:rPr>
              <w:t>因路制宜、分段设计”；“5</w:t>
            </w:r>
            <w:r>
              <w:t>.3</w:t>
            </w:r>
            <w:r>
              <w:rPr>
                <w:rFonts w:hint="eastAsia"/>
              </w:rPr>
              <w:t>实时跟踪、动态设计”修改为“5</w:t>
            </w:r>
            <w:r>
              <w:t>.2</w:t>
            </w:r>
            <w:r>
              <w:rPr>
                <w:rFonts w:hint="eastAsia"/>
              </w:rPr>
              <w:t>动态设计、注重环保”；“5</w:t>
            </w:r>
            <w:r>
              <w:t>.4</w:t>
            </w:r>
            <w:r>
              <w:rPr>
                <w:rFonts w:hint="eastAsia"/>
              </w:rPr>
              <w:t>因路制宜、注重环保”修改为“5.4鼓励创新、持续完善”；删除5</w:t>
            </w:r>
            <w:r>
              <w:t>.5</w:t>
            </w:r>
            <w:r>
              <w:rPr>
                <w:rFonts w:hint="eastAsia"/>
              </w:rPr>
              <w:t>。</w:t>
            </w:r>
          </w:p>
          <w:p>
            <w:pPr>
              <w:spacing w:line="440" w:lineRule="exact"/>
              <w:ind w:firstLine="420" w:firstLineChars="200"/>
            </w:pPr>
            <w:r>
              <w:rPr>
                <w:rFonts w:hint="eastAsia"/>
              </w:rPr>
              <w:t>5、章节7中，7</w:t>
            </w:r>
            <w:r>
              <w:t>.1.1</w:t>
            </w:r>
            <w:r>
              <w:rPr>
                <w:rFonts w:hint="eastAsia"/>
              </w:rPr>
              <w:t>中删除“及建设历史”；7</w:t>
            </w:r>
            <w:r>
              <w:t>.1.2</w:t>
            </w:r>
            <w:r>
              <w:rPr>
                <w:rFonts w:hint="eastAsia"/>
              </w:rPr>
              <w:t>道路运营维护信息修改为“7</w:t>
            </w:r>
            <w:r>
              <w:t>.1.2</w:t>
            </w:r>
            <w:r>
              <w:rPr>
                <w:rFonts w:hint="eastAsia"/>
              </w:rPr>
              <w:t>道路养护历史信息”，并调整释义：“包括历年路面技术状况检测资料、养护投入、养护段落、养护项目、养护方案等。调阅历史时段以设计需要为准，一般为1-5年内的养护历史信息”。</w:t>
            </w:r>
          </w:p>
          <w:p>
            <w:pPr>
              <w:pStyle w:val="14"/>
              <w:widowControl w:val="0"/>
              <w:autoSpaceDE/>
              <w:autoSpaceDN/>
              <w:adjustRightInd w:val="0"/>
              <w:spacing w:line="440" w:lineRule="exact"/>
              <w:rPr>
                <w:rFonts w:ascii="Calibri" w:hAnsi="Calibri"/>
                <w:kern w:val="2"/>
                <w:szCs w:val="21"/>
              </w:rPr>
            </w:pPr>
            <w:r>
              <w:rPr>
                <w:rFonts w:hint="eastAsia" w:ascii="Calibri" w:hAnsi="Calibri"/>
                <w:kern w:val="2"/>
                <w:szCs w:val="21"/>
              </w:rPr>
              <w:t>6、章节8中，增加8</w:t>
            </w:r>
            <w:r>
              <w:rPr>
                <w:rFonts w:ascii="Calibri" w:hAnsi="Calibri"/>
                <w:kern w:val="2"/>
                <w:szCs w:val="21"/>
              </w:rPr>
              <w:t>.2.2</w:t>
            </w:r>
            <w:r>
              <w:rPr>
                <w:rFonts w:hint="eastAsia" w:ascii="Calibri" w:hAnsi="Calibri"/>
                <w:kern w:val="2"/>
                <w:szCs w:val="21"/>
              </w:rPr>
              <w:t>释义，修改为“8</w:t>
            </w:r>
            <w:r>
              <w:rPr>
                <w:rFonts w:ascii="Calibri" w:hAnsi="Calibri"/>
                <w:kern w:val="2"/>
                <w:szCs w:val="21"/>
              </w:rPr>
              <w:t>.2.2</w:t>
            </w:r>
            <w:r>
              <w:rPr>
                <w:rFonts w:hint="eastAsia" w:ascii="Calibri" w:hAnsi="Calibri"/>
                <w:kern w:val="2"/>
                <w:szCs w:val="21"/>
              </w:rPr>
              <w:t>对初步筛选的养护路段进行现场踏勘核查确认。对复核、调整后的各养护段落，应在详细掌握路段及该养护段落养护历史维修资料的基础上，开展专项病害调查，确定病害发展层位、诊断病害产生原因，判断病害发展趋势后进行选择。根据病害发生的层位不同，沥青路面病害可分为路基结构不稳定、基层结构破坏、沥青面层机构破坏及沥青表面层性能衰减等类型，病因诊断分析可参考JTG 5421。”</w:t>
            </w:r>
          </w:p>
          <w:p>
            <w:pPr>
              <w:pStyle w:val="14"/>
              <w:widowControl w:val="0"/>
              <w:autoSpaceDE/>
              <w:autoSpaceDN/>
              <w:adjustRightInd w:val="0"/>
              <w:spacing w:line="440" w:lineRule="exact"/>
              <w:rPr>
                <w:rFonts w:ascii="Calibri" w:hAnsi="Calibri"/>
                <w:kern w:val="2"/>
                <w:szCs w:val="21"/>
              </w:rPr>
            </w:pPr>
            <w:r>
              <w:rPr>
                <w:rFonts w:hint="eastAsia" w:ascii="Calibri" w:hAnsi="Calibri"/>
                <w:kern w:val="2"/>
                <w:szCs w:val="21"/>
              </w:rPr>
              <w:t>7、章节9中，表1室内试验检测方法，</w:t>
            </w:r>
            <w:r>
              <w:rPr>
                <w:rFonts w:hint="eastAsia"/>
              </w:rPr>
              <w:t>“</w:t>
            </w:r>
            <w:r>
              <w:rPr>
                <w:rFonts w:hAnsi="宋体" w:cs="宋体"/>
              </w:rPr>
              <w:t>JTG</w:t>
            </w:r>
            <w:r>
              <w:rPr>
                <w:rFonts w:hAnsi="宋体" w:cs="宋体"/>
                <w:spacing w:val="-1"/>
              </w:rPr>
              <w:t xml:space="preserve"> </w:t>
            </w:r>
            <w:r>
              <w:rPr>
                <w:rFonts w:hAnsi="宋体" w:cs="宋体"/>
              </w:rPr>
              <w:t>E42</w:t>
            </w:r>
            <w:r>
              <w:rPr>
                <w:rFonts w:hint="eastAsia"/>
              </w:rPr>
              <w:t>”</w:t>
            </w:r>
            <w:r>
              <w:rPr>
                <w:rFonts w:hint="eastAsia" w:hAnsi="宋体" w:cs="宋体"/>
              </w:rPr>
              <w:t>更新为</w:t>
            </w:r>
            <w:r>
              <w:rPr>
                <w:rFonts w:hint="eastAsia"/>
              </w:rPr>
              <w:t>“</w:t>
            </w:r>
            <w:r>
              <w:rPr>
                <w:rFonts w:hAnsi="宋体" w:cs="宋体"/>
              </w:rPr>
              <w:t>JTG 3432</w:t>
            </w:r>
            <w:r>
              <w:rPr>
                <w:rFonts w:hint="eastAsia"/>
              </w:rPr>
              <w:t>”、“</w:t>
            </w:r>
            <w:r>
              <w:rPr>
                <w:rFonts w:hAnsi="宋体" w:cs="宋体"/>
              </w:rPr>
              <w:t>JTG</w:t>
            </w:r>
            <w:r>
              <w:rPr>
                <w:rFonts w:hAnsi="宋体" w:cs="宋体"/>
                <w:spacing w:val="-1"/>
              </w:rPr>
              <w:t xml:space="preserve"> </w:t>
            </w:r>
            <w:r>
              <w:rPr>
                <w:rFonts w:hAnsi="宋体" w:cs="宋体"/>
              </w:rPr>
              <w:t>E51</w:t>
            </w:r>
            <w:r>
              <w:rPr>
                <w:rFonts w:hint="eastAsia"/>
              </w:rPr>
              <w:t>”</w:t>
            </w:r>
            <w:r>
              <w:rPr>
                <w:rFonts w:hint="eastAsia" w:hAnsi="宋体" w:cs="宋体"/>
              </w:rPr>
              <w:t>更新为</w:t>
            </w:r>
            <w:r>
              <w:rPr>
                <w:rFonts w:hint="eastAsia"/>
              </w:rPr>
              <w:t>“</w:t>
            </w:r>
            <w:r>
              <w:rPr>
                <w:rFonts w:hAnsi="宋体" w:cs="宋体"/>
              </w:rPr>
              <w:t>JTG 3441</w:t>
            </w:r>
            <w:r>
              <w:rPr>
                <w:rFonts w:hint="eastAsia"/>
              </w:rPr>
              <w:t>”；</w:t>
            </w:r>
          </w:p>
          <w:p>
            <w:pPr>
              <w:pStyle w:val="14"/>
              <w:widowControl w:val="0"/>
              <w:autoSpaceDE/>
              <w:autoSpaceDN/>
              <w:adjustRightInd w:val="0"/>
              <w:spacing w:line="440" w:lineRule="exact"/>
              <w:rPr>
                <w:rFonts w:ascii="Calibri" w:hAnsi="Calibri"/>
                <w:kern w:val="2"/>
                <w:szCs w:val="21"/>
              </w:rPr>
            </w:pPr>
            <w:r>
              <w:rPr>
                <w:rFonts w:hint="eastAsia" w:ascii="Calibri" w:hAnsi="Calibri"/>
                <w:kern w:val="2"/>
                <w:szCs w:val="21"/>
              </w:rPr>
              <w:t>8、章节1</w:t>
            </w:r>
            <w:r>
              <w:rPr>
                <w:rFonts w:ascii="Calibri" w:hAnsi="Calibri"/>
                <w:kern w:val="2"/>
                <w:szCs w:val="21"/>
              </w:rPr>
              <w:t>0</w:t>
            </w:r>
            <w:r>
              <w:rPr>
                <w:rFonts w:hint="eastAsia" w:ascii="Calibri" w:hAnsi="Calibri"/>
                <w:kern w:val="2"/>
                <w:szCs w:val="21"/>
              </w:rPr>
              <w:t>中，新增1</w:t>
            </w:r>
            <w:r>
              <w:rPr>
                <w:rFonts w:ascii="Calibri" w:hAnsi="Calibri"/>
                <w:kern w:val="2"/>
                <w:szCs w:val="21"/>
              </w:rPr>
              <w:t>0.1.1</w:t>
            </w:r>
            <w:r>
              <w:rPr>
                <w:rFonts w:hint="eastAsia" w:ascii="Calibri" w:hAnsi="Calibri"/>
                <w:kern w:val="2"/>
                <w:szCs w:val="21"/>
              </w:rPr>
              <w:t xml:space="preserve"> 设计内容，“结构组合设计：根据养护对策的选择，对路面的结构层进行组合设计，包括面层、基层、底基层等的设计。材料选择与设计：根据路面的使用性能和养护对策的要求，选择合适的材料，并进行材料的设计，包括沥青混合料、无机结合料等”。</w:t>
            </w:r>
          </w:p>
          <w:p>
            <w:pPr>
              <w:pStyle w:val="14"/>
              <w:widowControl w:val="0"/>
              <w:autoSpaceDE/>
              <w:autoSpaceDN/>
              <w:adjustRightInd w:val="0"/>
              <w:spacing w:line="440" w:lineRule="exact"/>
              <w:rPr>
                <w:rFonts w:ascii="Calibri" w:hAnsi="Calibri"/>
                <w:kern w:val="2"/>
                <w:szCs w:val="21"/>
              </w:rPr>
            </w:pPr>
            <w:r>
              <w:rPr>
                <w:rFonts w:hint="eastAsia" w:ascii="Calibri" w:hAnsi="Calibri"/>
                <w:kern w:val="2"/>
                <w:szCs w:val="21"/>
              </w:rPr>
              <w:t>9、章节1</w:t>
            </w:r>
            <w:r>
              <w:rPr>
                <w:rFonts w:ascii="Calibri" w:hAnsi="Calibri"/>
                <w:kern w:val="2"/>
                <w:szCs w:val="21"/>
              </w:rPr>
              <w:t>0</w:t>
            </w:r>
            <w:r>
              <w:rPr>
                <w:rFonts w:hint="eastAsia" w:ascii="Calibri" w:hAnsi="Calibri"/>
                <w:kern w:val="2"/>
                <w:szCs w:val="21"/>
              </w:rPr>
              <w:t>中，新增10.1.2.1 目的：“a）通过科学合理的养护措施，延长公路、桥梁等交通基础设施的使用寿命。例如在《公路沥青路面养护设计规范》中强调，养护设计要结合设定的养护目标开展针对性的方案设计，并保证既定养护目标的实现。b）及时发现并处理可能出现的病害和问题，防止其进一步恶化。比如在高速公路养护设计中，会进行专项检测诊断路面病害原因，从而选择合理的养护对策，这样可以在病害初期就进行干预，避免小问题演变成大故障，影响设施的正常使用”。</w:t>
            </w:r>
          </w:p>
          <w:p>
            <w:pPr>
              <w:pStyle w:val="14"/>
              <w:widowControl w:val="0"/>
              <w:autoSpaceDE/>
              <w:autoSpaceDN/>
              <w:adjustRightInd w:val="0"/>
              <w:spacing w:line="440" w:lineRule="exact"/>
              <w:rPr>
                <w:rFonts w:ascii="Calibri" w:hAnsi="Calibri"/>
                <w:kern w:val="2"/>
                <w:szCs w:val="21"/>
              </w:rPr>
            </w:pPr>
            <w:r>
              <w:rPr>
                <w:rFonts w:ascii="Calibri" w:hAnsi="Calibri"/>
                <w:kern w:val="2"/>
                <w:szCs w:val="21"/>
              </w:rPr>
              <w:t>10</w:t>
            </w:r>
            <w:r>
              <w:rPr>
                <w:rFonts w:hint="eastAsia" w:ascii="Calibri" w:hAnsi="Calibri"/>
                <w:kern w:val="2"/>
                <w:szCs w:val="21"/>
              </w:rPr>
              <w:t>、章节1</w:t>
            </w:r>
            <w:r>
              <w:rPr>
                <w:rFonts w:ascii="Calibri" w:hAnsi="Calibri"/>
                <w:kern w:val="2"/>
                <w:szCs w:val="21"/>
              </w:rPr>
              <w:t>0</w:t>
            </w:r>
            <w:r>
              <w:rPr>
                <w:rFonts w:hint="eastAsia" w:ascii="Calibri" w:hAnsi="Calibri"/>
                <w:kern w:val="2"/>
                <w:szCs w:val="21"/>
              </w:rPr>
              <w:t>中，新增10.1.2.2 养护单元，“以100米为养护单元”。</w:t>
            </w:r>
          </w:p>
          <w:p>
            <w:pPr>
              <w:pStyle w:val="14"/>
              <w:widowControl w:val="0"/>
              <w:autoSpaceDE/>
              <w:autoSpaceDN/>
              <w:adjustRightInd w:val="0"/>
              <w:spacing w:line="440" w:lineRule="exact"/>
              <w:rPr>
                <w:rFonts w:ascii="Calibri" w:hAnsi="Calibri"/>
                <w:kern w:val="2"/>
                <w:szCs w:val="21"/>
              </w:rPr>
            </w:pPr>
            <w:r>
              <w:rPr>
                <w:rFonts w:ascii="Calibri" w:hAnsi="Calibri"/>
                <w:kern w:val="2"/>
                <w:szCs w:val="21"/>
              </w:rPr>
              <w:t>11</w:t>
            </w:r>
            <w:r>
              <w:rPr>
                <w:rFonts w:hint="eastAsia" w:ascii="Calibri" w:hAnsi="Calibri"/>
                <w:kern w:val="2"/>
                <w:szCs w:val="21"/>
              </w:rPr>
              <w:t>、章节1</w:t>
            </w:r>
            <w:r>
              <w:rPr>
                <w:rFonts w:ascii="Calibri" w:hAnsi="Calibri"/>
                <w:kern w:val="2"/>
                <w:szCs w:val="21"/>
              </w:rPr>
              <w:t>0</w:t>
            </w:r>
            <w:r>
              <w:rPr>
                <w:rFonts w:hint="eastAsia" w:ascii="Calibri" w:hAnsi="Calibri"/>
                <w:kern w:val="2"/>
                <w:szCs w:val="21"/>
              </w:rPr>
              <w:t>中，新增10.1.2.3 原则：“a）从全寿命周期的角度出发，综合考虑建设、运营和养护维修的成本，通过优化养护设计方案，降低整体费用。在方案比选过程中，应从全寿命周期角度进行分析，优选投资效益最大化的养护方案，这有助于在有限的资金下，实现最佳的养护效果。b）合理的养护设计可以减少设施的频繁维修次数和费用。通过对设施进行定期的检查和维护，及时发现并解决问题，可以避免因设施损坏严重而导致的大规模维修或更换，从而节省大量的维修费用”。</w:t>
            </w:r>
          </w:p>
          <w:p>
            <w:pPr>
              <w:pStyle w:val="14"/>
              <w:widowControl w:val="0"/>
              <w:autoSpaceDE/>
              <w:autoSpaceDN/>
              <w:adjustRightInd w:val="0"/>
              <w:spacing w:line="440" w:lineRule="exact"/>
              <w:rPr>
                <w:rFonts w:ascii="Calibri" w:hAnsi="Calibri"/>
                <w:kern w:val="2"/>
                <w:szCs w:val="21"/>
              </w:rPr>
            </w:pPr>
            <w:r>
              <w:rPr>
                <w:rFonts w:ascii="Calibri" w:hAnsi="Calibri"/>
                <w:kern w:val="2"/>
                <w:szCs w:val="21"/>
              </w:rPr>
              <w:t>12</w:t>
            </w:r>
            <w:r>
              <w:rPr>
                <w:rFonts w:hint="eastAsia" w:ascii="Calibri" w:hAnsi="Calibri"/>
                <w:kern w:val="2"/>
                <w:szCs w:val="21"/>
              </w:rPr>
              <w:t>、章节1</w:t>
            </w:r>
            <w:r>
              <w:rPr>
                <w:rFonts w:ascii="Calibri" w:hAnsi="Calibri"/>
                <w:kern w:val="2"/>
                <w:szCs w:val="21"/>
              </w:rPr>
              <w:t>0</w:t>
            </w:r>
            <w:r>
              <w:rPr>
                <w:rFonts w:hint="eastAsia" w:ascii="Calibri" w:hAnsi="Calibri"/>
                <w:kern w:val="2"/>
                <w:szCs w:val="21"/>
              </w:rPr>
              <w:t>中，1</w:t>
            </w:r>
            <w:r>
              <w:rPr>
                <w:rFonts w:ascii="Calibri" w:hAnsi="Calibri"/>
                <w:kern w:val="2"/>
                <w:szCs w:val="21"/>
              </w:rPr>
              <w:t>0.2.3.3</w:t>
            </w:r>
            <w:r>
              <w:rPr>
                <w:rFonts w:hint="eastAsia" w:ascii="Calibri" w:hAnsi="Calibri"/>
                <w:kern w:val="2"/>
                <w:szCs w:val="21"/>
              </w:rPr>
              <w:t>中“节能环保效果和社会影响等”修改为“社会效益、环保效益比选等”。</w:t>
            </w:r>
          </w:p>
          <w:p>
            <w:pPr>
              <w:pStyle w:val="14"/>
              <w:widowControl w:val="0"/>
              <w:autoSpaceDE/>
              <w:autoSpaceDN/>
              <w:adjustRightInd w:val="0"/>
              <w:spacing w:line="440" w:lineRule="exact"/>
              <w:rPr>
                <w:rFonts w:ascii="Calibri" w:hAnsi="Calibri"/>
                <w:kern w:val="2"/>
                <w:szCs w:val="21"/>
              </w:rPr>
            </w:pPr>
            <w:r>
              <w:rPr>
                <w:rFonts w:hint="eastAsia" w:ascii="Calibri" w:hAnsi="Calibri"/>
                <w:kern w:val="2"/>
                <w:szCs w:val="21"/>
              </w:rPr>
              <w:t>1</w:t>
            </w:r>
            <w:r>
              <w:rPr>
                <w:rFonts w:ascii="Calibri" w:hAnsi="Calibri"/>
                <w:kern w:val="2"/>
                <w:szCs w:val="21"/>
              </w:rPr>
              <w:t>3</w:t>
            </w:r>
            <w:r>
              <w:rPr>
                <w:rFonts w:hint="eastAsia" w:ascii="Calibri" w:hAnsi="Calibri"/>
                <w:kern w:val="2"/>
                <w:szCs w:val="21"/>
              </w:rPr>
              <w:t>、章节1</w:t>
            </w:r>
            <w:r>
              <w:rPr>
                <w:rFonts w:ascii="Calibri" w:hAnsi="Calibri"/>
                <w:kern w:val="2"/>
                <w:szCs w:val="21"/>
              </w:rPr>
              <w:t>0</w:t>
            </w:r>
            <w:r>
              <w:rPr>
                <w:rFonts w:hint="eastAsia" w:ascii="Calibri" w:hAnsi="Calibri"/>
                <w:kern w:val="2"/>
                <w:szCs w:val="21"/>
              </w:rPr>
              <w:t>中，1</w:t>
            </w:r>
            <w:r>
              <w:rPr>
                <w:rFonts w:ascii="Calibri" w:hAnsi="Calibri"/>
                <w:kern w:val="2"/>
                <w:szCs w:val="21"/>
              </w:rPr>
              <w:t>0.4.1</w:t>
            </w:r>
            <w:r>
              <w:rPr>
                <w:rFonts w:hint="eastAsia" w:ascii="Calibri" w:hAnsi="Calibri"/>
                <w:kern w:val="2"/>
                <w:szCs w:val="21"/>
              </w:rPr>
              <w:t>中，增加“通过‘路面三次病害确认法’确定路面的最终养护方案”。</w:t>
            </w:r>
          </w:p>
          <w:p>
            <w:pPr>
              <w:pStyle w:val="14"/>
              <w:widowControl w:val="0"/>
              <w:autoSpaceDE/>
              <w:autoSpaceDN/>
              <w:adjustRightInd w:val="0"/>
              <w:spacing w:line="440" w:lineRule="exact"/>
              <w:rPr>
                <w:rFonts w:ascii="Calibri" w:hAnsi="Calibri"/>
                <w:kern w:val="2"/>
                <w:szCs w:val="21"/>
              </w:rPr>
            </w:pPr>
            <w:r>
              <w:rPr>
                <w:rFonts w:hint="eastAsia" w:ascii="Calibri" w:hAnsi="Calibri"/>
                <w:kern w:val="2"/>
                <w:szCs w:val="21"/>
              </w:rPr>
              <w:t>1</w:t>
            </w:r>
            <w:r>
              <w:rPr>
                <w:rFonts w:ascii="Calibri" w:hAnsi="Calibri"/>
                <w:kern w:val="2"/>
                <w:szCs w:val="21"/>
              </w:rPr>
              <w:t>4</w:t>
            </w:r>
            <w:r>
              <w:rPr>
                <w:rFonts w:hint="eastAsia" w:ascii="Calibri" w:hAnsi="Calibri"/>
                <w:kern w:val="2"/>
                <w:szCs w:val="21"/>
              </w:rPr>
              <w:t>、章节1</w:t>
            </w:r>
            <w:r>
              <w:rPr>
                <w:rFonts w:ascii="Calibri" w:hAnsi="Calibri"/>
                <w:kern w:val="2"/>
                <w:szCs w:val="21"/>
              </w:rPr>
              <w:t>0</w:t>
            </w:r>
            <w:r>
              <w:rPr>
                <w:rFonts w:hint="eastAsia" w:ascii="Calibri" w:hAnsi="Calibri"/>
                <w:kern w:val="2"/>
                <w:szCs w:val="21"/>
              </w:rPr>
              <w:t>中，1</w:t>
            </w:r>
            <w:r>
              <w:rPr>
                <w:rFonts w:ascii="Calibri" w:hAnsi="Calibri"/>
                <w:kern w:val="2"/>
                <w:szCs w:val="21"/>
              </w:rPr>
              <w:t>0.4.1.1</w:t>
            </w:r>
            <w:r>
              <w:rPr>
                <w:rFonts w:hint="eastAsia" w:ascii="Calibri" w:hAnsi="Calibri"/>
                <w:kern w:val="2"/>
                <w:szCs w:val="21"/>
              </w:rPr>
              <w:t>中，增加“10.4.1.1第一次病害确认：在养护方案设计之前，通过路况巡查、路面检测等技术手段，对路面状况进行的详细调查和病害分析诊断，为养护维修方案设计提供依据”。</w:t>
            </w:r>
          </w:p>
          <w:p>
            <w:pPr>
              <w:pStyle w:val="14"/>
              <w:widowControl w:val="0"/>
              <w:autoSpaceDE/>
              <w:autoSpaceDN/>
              <w:adjustRightInd w:val="0"/>
              <w:spacing w:line="440" w:lineRule="exact"/>
              <w:rPr>
                <w:rFonts w:ascii="Calibri" w:hAnsi="Calibri"/>
                <w:kern w:val="2"/>
                <w:szCs w:val="21"/>
              </w:rPr>
            </w:pPr>
            <w:r>
              <w:rPr>
                <w:rFonts w:hint="eastAsia" w:ascii="Calibri" w:hAnsi="Calibri"/>
                <w:kern w:val="2"/>
                <w:szCs w:val="21"/>
              </w:rPr>
              <w:t>1</w:t>
            </w:r>
            <w:r>
              <w:rPr>
                <w:rFonts w:ascii="Calibri" w:hAnsi="Calibri"/>
                <w:kern w:val="2"/>
                <w:szCs w:val="21"/>
              </w:rPr>
              <w:t>5</w:t>
            </w:r>
            <w:r>
              <w:rPr>
                <w:rFonts w:hint="eastAsia" w:ascii="Calibri" w:hAnsi="Calibri"/>
                <w:kern w:val="2"/>
                <w:szCs w:val="21"/>
              </w:rPr>
              <w:t>、章节1</w:t>
            </w:r>
            <w:r>
              <w:rPr>
                <w:rFonts w:ascii="Calibri" w:hAnsi="Calibri"/>
                <w:kern w:val="2"/>
                <w:szCs w:val="21"/>
              </w:rPr>
              <w:t>0</w:t>
            </w:r>
            <w:r>
              <w:rPr>
                <w:rFonts w:hint="eastAsia" w:ascii="Calibri" w:hAnsi="Calibri"/>
                <w:kern w:val="2"/>
                <w:szCs w:val="21"/>
              </w:rPr>
              <w:t>中，</w:t>
            </w:r>
            <w:r>
              <w:rPr>
                <w:rFonts w:ascii="Calibri" w:hAnsi="Calibri"/>
                <w:kern w:val="2"/>
                <w:szCs w:val="21"/>
              </w:rPr>
              <w:t>10.4.1.2</w:t>
            </w:r>
            <w:r>
              <w:rPr>
                <w:rFonts w:hint="eastAsia" w:ascii="Calibri" w:hAnsi="Calibri"/>
                <w:kern w:val="2"/>
                <w:szCs w:val="21"/>
              </w:rPr>
              <w:t>中增加“10.4.1.2第二次病害确认：在方案设计/施工图设计（如有）阶段，由养护管理单位和设计单位（如有）联合再次对养护实施段落的病害进行调查确认，确定详细养护方案及预算编制”。</w:t>
            </w:r>
          </w:p>
          <w:p>
            <w:pPr>
              <w:pStyle w:val="14"/>
              <w:widowControl w:val="0"/>
              <w:autoSpaceDE/>
              <w:autoSpaceDN/>
              <w:adjustRightInd w:val="0"/>
              <w:spacing w:line="440" w:lineRule="exact"/>
              <w:rPr>
                <w:rFonts w:ascii="Calibri" w:hAnsi="Calibri"/>
                <w:kern w:val="2"/>
                <w:szCs w:val="21"/>
              </w:rPr>
            </w:pPr>
            <w:r>
              <w:rPr>
                <w:rFonts w:hint="eastAsia" w:ascii="Calibri" w:hAnsi="Calibri"/>
                <w:kern w:val="2"/>
                <w:szCs w:val="21"/>
              </w:rPr>
              <w:t>1</w:t>
            </w:r>
            <w:r>
              <w:rPr>
                <w:rFonts w:ascii="Calibri" w:hAnsi="Calibri"/>
                <w:kern w:val="2"/>
                <w:szCs w:val="21"/>
              </w:rPr>
              <w:t>6</w:t>
            </w:r>
            <w:r>
              <w:rPr>
                <w:rFonts w:hint="eastAsia" w:ascii="Calibri" w:hAnsi="Calibri"/>
                <w:kern w:val="2"/>
                <w:szCs w:val="21"/>
              </w:rPr>
              <w:t>、章节1</w:t>
            </w:r>
            <w:r>
              <w:rPr>
                <w:rFonts w:ascii="Calibri" w:hAnsi="Calibri"/>
                <w:kern w:val="2"/>
                <w:szCs w:val="21"/>
              </w:rPr>
              <w:t>0</w:t>
            </w:r>
            <w:r>
              <w:rPr>
                <w:rFonts w:hint="eastAsia" w:ascii="Calibri" w:hAnsi="Calibri"/>
                <w:kern w:val="2"/>
                <w:szCs w:val="21"/>
              </w:rPr>
              <w:t>中，1</w:t>
            </w:r>
            <w:r>
              <w:rPr>
                <w:rFonts w:ascii="Calibri" w:hAnsi="Calibri"/>
                <w:kern w:val="2"/>
                <w:szCs w:val="21"/>
              </w:rPr>
              <w:t>0.4.1.3</w:t>
            </w:r>
            <w:r>
              <w:rPr>
                <w:rFonts w:hint="eastAsia" w:ascii="Calibri" w:hAnsi="Calibri"/>
                <w:kern w:val="2"/>
                <w:szCs w:val="21"/>
              </w:rPr>
              <w:t>中增加“10.4.1.3第三次病害确认：养护段落在封闭后、施工前，对路面状况进行再次调查，验证设计养护技术方案的可靠性与合理性。预防养护在路面铣刨过程中，及时、认真观察重点路段、严重病害铣刨层位和病害程度，验证结构内部病害确认的可靠性及维修方案的合理性。”</w:t>
            </w:r>
          </w:p>
          <w:p>
            <w:pPr>
              <w:pStyle w:val="14"/>
              <w:widowControl w:val="0"/>
              <w:autoSpaceDE/>
              <w:autoSpaceDN/>
              <w:adjustRightInd w:val="0"/>
              <w:spacing w:line="440" w:lineRule="exact"/>
            </w:pPr>
            <w:r>
              <w:rPr>
                <w:rFonts w:hint="eastAsia" w:ascii="Calibri" w:hAnsi="Calibri"/>
                <w:kern w:val="2"/>
                <w:szCs w:val="21"/>
              </w:rPr>
              <w:t>1</w:t>
            </w:r>
            <w:r>
              <w:rPr>
                <w:rFonts w:ascii="Calibri" w:hAnsi="Calibri"/>
                <w:kern w:val="2"/>
                <w:szCs w:val="21"/>
              </w:rPr>
              <w:t>7</w:t>
            </w:r>
            <w:r>
              <w:rPr>
                <w:rFonts w:hint="eastAsia" w:ascii="Calibri" w:hAnsi="Calibri"/>
                <w:kern w:val="2"/>
                <w:szCs w:val="21"/>
              </w:rPr>
              <w:t>、章节1</w:t>
            </w:r>
            <w:r>
              <w:rPr>
                <w:rFonts w:ascii="Calibri" w:hAnsi="Calibri"/>
                <w:kern w:val="2"/>
                <w:szCs w:val="21"/>
              </w:rPr>
              <w:t>0</w:t>
            </w:r>
            <w:r>
              <w:rPr>
                <w:rFonts w:hint="eastAsia" w:ascii="Calibri" w:hAnsi="Calibri"/>
                <w:kern w:val="2"/>
                <w:szCs w:val="21"/>
              </w:rPr>
              <w:t>中，1</w:t>
            </w:r>
            <w:r>
              <w:rPr>
                <w:rFonts w:ascii="Calibri" w:hAnsi="Calibri"/>
                <w:kern w:val="2"/>
                <w:szCs w:val="21"/>
              </w:rPr>
              <w:t>0.4.2</w:t>
            </w:r>
            <w:r>
              <w:rPr>
                <w:rFonts w:hint="eastAsia" w:ascii="Calibri" w:hAnsi="Calibri"/>
                <w:kern w:val="2"/>
                <w:szCs w:val="21"/>
              </w:rPr>
              <w:t>增加释义“养护方案优化设计主要是通过第二次至第三次病害确认确定最终的养护实施方案”。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rPr>
                <w:rFonts w:hAnsi="宋体"/>
                <w:szCs w:val="21"/>
              </w:rPr>
            </w:pPr>
            <w:bookmarkStart w:id="0" w:name="_Toc464905557"/>
            <w:bookmarkStart w:id="1" w:name="_Toc464905809"/>
            <w:bookmarkStart w:id="2" w:name="_Toc465074266"/>
            <w:bookmarkStart w:id="3" w:name="_Toc464902852"/>
            <w:bookmarkStart w:id="4" w:name="_Toc464905613"/>
            <w:r>
              <w:rPr>
                <w:rFonts w:hint="eastAsia" w:hAnsi="宋体"/>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contextualSpacing/>
              <w:rPr>
                <w:rFonts w:hAnsi="宋体"/>
                <w:szCs w:val="21"/>
              </w:rPr>
            </w:pPr>
            <w:r>
              <w:rPr>
                <w:rFonts w:hint="eastAsia" w:asciiTheme="minorEastAsia" w:hAnsiTheme="minorEastAsia"/>
                <w:szCs w:val="21"/>
              </w:rPr>
              <w:t>本标准未涉及专利。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rPr>
                <w:rFonts w:hAnsi="宋体"/>
                <w:szCs w:val="21"/>
              </w:rPr>
            </w:pPr>
            <w:bookmarkStart w:id="5" w:name="_Toc465074267"/>
            <w:bookmarkStart w:id="6" w:name="_Toc464905614"/>
            <w:bookmarkStart w:id="7" w:name="_Toc464902853"/>
            <w:bookmarkStart w:id="8" w:name="_Toc464905810"/>
            <w:bookmarkStart w:id="9" w:name="_Toc464905558"/>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contextualSpacing/>
              <w:rPr>
                <w:rFonts w:hAnsi="宋体"/>
                <w:szCs w:val="21"/>
              </w:rPr>
            </w:pPr>
            <w:r>
              <w:rPr>
                <w:rFonts w:hint="eastAsia" w:asciiTheme="minorEastAsia" w:hAnsiTheme="minorEastAsia"/>
                <w:szCs w:val="21"/>
              </w:rPr>
              <w:t>本标准未采用国际标准或国外先进标准。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rPr>
                <w:rFonts w:hAnsi="宋体"/>
                <w:szCs w:val="21"/>
              </w:rPr>
            </w:pPr>
            <w:bookmarkStart w:id="10" w:name="_Toc464902854"/>
            <w:bookmarkStart w:id="11" w:name="_Toc464905559"/>
            <w:bookmarkStart w:id="12" w:name="_Toc465074268"/>
            <w:bookmarkStart w:id="13" w:name="_Toc464905615"/>
            <w:bookmarkStart w:id="14" w:name="_Toc464905811"/>
            <w:r>
              <w:rPr>
                <w:rFonts w:hint="eastAsia" w:hAnsi="宋体"/>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contextualSpacing/>
              <w:rPr>
                <w:rFonts w:hAnsi="宋体"/>
                <w:szCs w:val="21"/>
              </w:rPr>
            </w:pPr>
            <w:r>
              <w:rPr>
                <w:rFonts w:hint="eastAsia" w:asciiTheme="minorEastAsia" w:hAnsiTheme="minorEastAsia"/>
                <w:szCs w:val="21"/>
              </w:rPr>
              <w:t>本标准在编制过程中没有重大意见分歧。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rPr>
                <w:rFonts w:hAnsi="宋体"/>
                <w:szCs w:val="21"/>
              </w:rPr>
            </w:pPr>
            <w:bookmarkStart w:id="15" w:name="_Toc464902855"/>
            <w:bookmarkStart w:id="16" w:name="_Toc464905812"/>
            <w:bookmarkStart w:id="17" w:name="_Toc464905560"/>
            <w:bookmarkStart w:id="18" w:name="_Toc464905616"/>
            <w:bookmarkStart w:id="19" w:name="_Toc465074269"/>
            <w:r>
              <w:rPr>
                <w:rFonts w:hint="eastAsia" w:hAnsi="宋体"/>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6"/>
              <w:spacing w:before="23" w:line="278" w:lineRule="auto"/>
              <w:ind w:left="107" w:right="205" w:firstLine="420"/>
              <w:rPr>
                <w:sz w:val="21"/>
              </w:rPr>
            </w:pPr>
            <w:r>
              <w:rPr>
                <w:sz w:val="21"/>
              </w:rPr>
              <w:t>为了加强标准的指导作用，标准发布后，应大力宣传推广，贯彻落实标准的实施。同时，为推</w:t>
            </w:r>
            <w:r>
              <w:rPr>
                <w:spacing w:val="-18"/>
                <w:sz w:val="21"/>
              </w:rPr>
              <w:t>广</w:t>
            </w:r>
            <w:r>
              <w:rPr>
                <w:sz w:val="21"/>
              </w:rPr>
              <w:t>和实施本标准，可以采取如下一些具体措施：</w:t>
            </w:r>
          </w:p>
          <w:p>
            <w:pPr>
              <w:pStyle w:val="14"/>
              <w:adjustRightInd w:val="0"/>
              <w:spacing w:line="360" w:lineRule="auto"/>
              <w:contextualSpacing/>
              <w:rPr>
                <w:rFonts w:asciiTheme="minorEastAsia" w:hAnsiTheme="minorEastAsia"/>
                <w:szCs w:val="21"/>
              </w:rPr>
            </w:pPr>
            <w:r>
              <w:rPr>
                <w:rFonts w:hint="eastAsia" w:asciiTheme="minorEastAsia" w:hAnsiTheme="minorEastAsia"/>
                <w:szCs w:val="21"/>
              </w:rPr>
              <w:t>（1）由技术归口单位牵头，负责标准宣贯；</w:t>
            </w:r>
          </w:p>
          <w:p>
            <w:pPr>
              <w:pStyle w:val="14"/>
              <w:adjustRightInd w:val="0"/>
              <w:spacing w:line="360" w:lineRule="auto"/>
              <w:contextualSpacing/>
              <w:rPr>
                <w:rFonts w:asciiTheme="minorEastAsia" w:hAnsiTheme="minorEastAsia"/>
                <w:szCs w:val="21"/>
              </w:rPr>
            </w:pPr>
            <w:r>
              <w:rPr>
                <w:rFonts w:hint="eastAsia" w:asciiTheme="minorEastAsia" w:hAnsiTheme="minorEastAsia"/>
                <w:szCs w:val="21"/>
              </w:rPr>
              <w:t>（2）结合标准化建设，推动和全面实施标准的培训工作；</w:t>
            </w:r>
          </w:p>
          <w:p>
            <w:pPr>
              <w:pStyle w:val="14"/>
              <w:adjustRightInd w:val="0"/>
              <w:spacing w:line="360" w:lineRule="auto"/>
              <w:contextualSpacing/>
              <w:rPr>
                <w:rFonts w:asciiTheme="minorEastAsia" w:hAnsiTheme="minorEastAsia"/>
                <w:szCs w:val="21"/>
              </w:rPr>
            </w:pPr>
            <w:r>
              <w:rPr>
                <w:rFonts w:hint="eastAsia" w:asciiTheme="minorEastAsia" w:hAnsiTheme="minorEastAsia"/>
                <w:szCs w:val="21"/>
              </w:rPr>
              <w:t>（3）标准起草工作组应继续开展研究，改进和完善标准的相关内容；</w:t>
            </w:r>
          </w:p>
          <w:p>
            <w:pPr>
              <w:pStyle w:val="14"/>
              <w:adjustRightInd w:val="0"/>
              <w:spacing w:line="360" w:lineRule="auto"/>
              <w:contextualSpacing/>
              <w:rPr>
                <w:rFonts w:hAnsi="宋体"/>
                <w:szCs w:val="21"/>
              </w:rPr>
            </w:pPr>
            <w:r>
              <w:rPr>
                <w:rFonts w:hint="eastAsia" w:asciiTheme="minorEastAsia" w:hAnsiTheme="minorEastAsia"/>
                <w:szCs w:val="21"/>
              </w:rPr>
              <w:t>（4）加强与全国其他省市相关单位的交流合作，积极收集外省市的先进意见，争取提升为国家标准或行业标准，使我省的工作经验与全国分享，使标准化经验影响范围更广泛。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rPr>
                <w:rFonts w:hAnsi="宋体"/>
                <w:szCs w:val="21"/>
              </w:rPr>
            </w:pPr>
            <w:bookmarkStart w:id="20" w:name="_Toc464902856"/>
            <w:bookmarkStart w:id="21" w:name="_Toc464905617"/>
            <w:bookmarkStart w:id="22" w:name="_Toc464905561"/>
            <w:bookmarkStart w:id="23" w:name="_Toc465074270"/>
            <w:bookmarkStart w:id="24" w:name="_Toc464905813"/>
            <w:r>
              <w:rPr>
                <w:rFonts w:hint="eastAsia" w:hAnsi="宋体"/>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contextualSpacing/>
              <w:rPr>
                <w:rFonts w:hAnsi="宋体"/>
                <w:szCs w:val="21"/>
              </w:rPr>
            </w:pPr>
            <w:r>
              <w:rPr>
                <w:rFonts w:asciiTheme="minorEastAsia" w:hAnsi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4"/>
              <w:adjustRightInd w:val="0"/>
              <w:spacing w:line="360" w:lineRule="auto"/>
              <w:ind w:firstLine="0" w:firstLineChars="0"/>
              <w:contextualSpacing/>
              <w:rPr>
                <w:rFonts w:hAnsi="宋体"/>
                <w:szCs w:val="21"/>
              </w:rPr>
            </w:pPr>
            <w:bookmarkStart w:id="25" w:name="_Toc464902857"/>
            <w:bookmarkStart w:id="26" w:name="_Toc464905562"/>
            <w:bookmarkStart w:id="27" w:name="_Toc464905814"/>
            <w:bookmarkStart w:id="28" w:name="_Toc465074271"/>
            <w:bookmarkStart w:id="29" w:name="_Toc464905618"/>
            <w:r>
              <w:rPr>
                <w:rFonts w:hint="eastAsia" w:hAnsi="宋体"/>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ind w:firstLine="420" w:firstLineChars="200"/>
              <w:rPr>
                <w:rFonts w:hAnsi="宋体"/>
              </w:rPr>
            </w:pPr>
            <w:r>
              <w:rPr>
                <w:rFonts w:hint="eastAsia" w:asciiTheme="minorEastAsia" w:hAnsiTheme="minorEastAsia"/>
              </w:rPr>
              <w:t>无</w:t>
            </w:r>
          </w:p>
        </w:tc>
      </w:tr>
    </w:tbl>
    <w:p>
      <w:pPr>
        <w:pStyle w:val="15"/>
      </w:pPr>
      <w:r>
        <w:rPr>
          <w:rFonts w:hint="eastAsia"/>
        </w:rPr>
        <w:t>没有的请填写 “无”。</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_x0003_...销.">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22"/>
      <w:lvlText w:val="%1）"/>
      <w:lvlJc w:val="left"/>
      <w:pPr>
        <w:tabs>
          <w:tab w:val="left" w:pos="851"/>
        </w:tabs>
        <w:ind w:left="851" w:hanging="426"/>
      </w:pPr>
      <w:rPr>
        <w:rFonts w:hint="default"/>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657D3FBC"/>
    <w:multiLevelType w:val="multilevel"/>
    <w:tmpl w:val="657D3FBC"/>
    <w:lvl w:ilvl="0" w:tentative="0">
      <w:start w:val="1"/>
      <w:numFmt w:val="upperLetter"/>
      <w:pStyle w:val="12"/>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21"/>
      <w:suff w:val="nothing"/>
      <w:lvlText w:val="%1%2.%3.%4　"/>
      <w:lvlJc w:val="left"/>
      <w:pPr>
        <w:ind w:left="241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DBF04F4"/>
    <w:multiLevelType w:val="multilevel"/>
    <w:tmpl w:val="6DBF04F4"/>
    <w:lvl w:ilvl="0" w:tentative="0">
      <w:start w:val="1"/>
      <w:numFmt w:val="none"/>
      <w:pStyle w:val="15"/>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iOTZiODU2Mjc3ZDAwNmI1YjdiODNkMmJkN2U0YmQifQ=="/>
  </w:docVars>
  <w:rsids>
    <w:rsidRoot w:val="45700A8B"/>
    <w:rsid w:val="0003197B"/>
    <w:rsid w:val="000718E2"/>
    <w:rsid w:val="00075BA0"/>
    <w:rsid w:val="00076187"/>
    <w:rsid w:val="000A203E"/>
    <w:rsid w:val="000A4C24"/>
    <w:rsid w:val="000B0730"/>
    <w:rsid w:val="000B29A0"/>
    <w:rsid w:val="000D10E0"/>
    <w:rsid w:val="000D7B8A"/>
    <w:rsid w:val="000F0940"/>
    <w:rsid w:val="00107674"/>
    <w:rsid w:val="00124A20"/>
    <w:rsid w:val="001500C6"/>
    <w:rsid w:val="00163E6B"/>
    <w:rsid w:val="00175A3E"/>
    <w:rsid w:val="00180D09"/>
    <w:rsid w:val="001863F3"/>
    <w:rsid w:val="00191331"/>
    <w:rsid w:val="0019390F"/>
    <w:rsid w:val="001948BE"/>
    <w:rsid w:val="00196276"/>
    <w:rsid w:val="0019699E"/>
    <w:rsid w:val="001C562D"/>
    <w:rsid w:val="001D4ACC"/>
    <w:rsid w:val="001F3ED5"/>
    <w:rsid w:val="00206B0A"/>
    <w:rsid w:val="00215110"/>
    <w:rsid w:val="00222854"/>
    <w:rsid w:val="00222F88"/>
    <w:rsid w:val="002234D2"/>
    <w:rsid w:val="002359F9"/>
    <w:rsid w:val="00252791"/>
    <w:rsid w:val="0025415B"/>
    <w:rsid w:val="00257225"/>
    <w:rsid w:val="00273738"/>
    <w:rsid w:val="002F20E0"/>
    <w:rsid w:val="00316A9B"/>
    <w:rsid w:val="0033374E"/>
    <w:rsid w:val="0034285F"/>
    <w:rsid w:val="003575EB"/>
    <w:rsid w:val="0035761F"/>
    <w:rsid w:val="0038392D"/>
    <w:rsid w:val="003969C6"/>
    <w:rsid w:val="003B100C"/>
    <w:rsid w:val="003D2878"/>
    <w:rsid w:val="00406BC0"/>
    <w:rsid w:val="004105DF"/>
    <w:rsid w:val="004261B1"/>
    <w:rsid w:val="004318B2"/>
    <w:rsid w:val="00450C7A"/>
    <w:rsid w:val="00455DF5"/>
    <w:rsid w:val="00475B4C"/>
    <w:rsid w:val="004934DC"/>
    <w:rsid w:val="004A5BE4"/>
    <w:rsid w:val="004A6081"/>
    <w:rsid w:val="004D0EC1"/>
    <w:rsid w:val="004E16AC"/>
    <w:rsid w:val="004E313B"/>
    <w:rsid w:val="004F2F76"/>
    <w:rsid w:val="005116AF"/>
    <w:rsid w:val="00523178"/>
    <w:rsid w:val="00526636"/>
    <w:rsid w:val="00530B83"/>
    <w:rsid w:val="005372EF"/>
    <w:rsid w:val="0055112E"/>
    <w:rsid w:val="00556B8B"/>
    <w:rsid w:val="0059499A"/>
    <w:rsid w:val="005A3BDB"/>
    <w:rsid w:val="005A5761"/>
    <w:rsid w:val="005B2AD9"/>
    <w:rsid w:val="005B4CA2"/>
    <w:rsid w:val="005E48E9"/>
    <w:rsid w:val="0060064F"/>
    <w:rsid w:val="0062351F"/>
    <w:rsid w:val="00637420"/>
    <w:rsid w:val="00645387"/>
    <w:rsid w:val="00645EEE"/>
    <w:rsid w:val="00652808"/>
    <w:rsid w:val="00672C41"/>
    <w:rsid w:val="00685414"/>
    <w:rsid w:val="0069457B"/>
    <w:rsid w:val="006B26EB"/>
    <w:rsid w:val="006C2345"/>
    <w:rsid w:val="006D1C76"/>
    <w:rsid w:val="006E1D2F"/>
    <w:rsid w:val="006E41C8"/>
    <w:rsid w:val="006E728E"/>
    <w:rsid w:val="006F33D6"/>
    <w:rsid w:val="007B00BE"/>
    <w:rsid w:val="007B49D5"/>
    <w:rsid w:val="007C03DF"/>
    <w:rsid w:val="007C2E44"/>
    <w:rsid w:val="007C647A"/>
    <w:rsid w:val="007C6FCE"/>
    <w:rsid w:val="007F4669"/>
    <w:rsid w:val="007F7433"/>
    <w:rsid w:val="008049D8"/>
    <w:rsid w:val="00830B00"/>
    <w:rsid w:val="00840B63"/>
    <w:rsid w:val="008416BF"/>
    <w:rsid w:val="00844B93"/>
    <w:rsid w:val="008547C8"/>
    <w:rsid w:val="008650F2"/>
    <w:rsid w:val="00867E9A"/>
    <w:rsid w:val="0088345F"/>
    <w:rsid w:val="00894C5A"/>
    <w:rsid w:val="008A1CE6"/>
    <w:rsid w:val="008A4C08"/>
    <w:rsid w:val="008B22A6"/>
    <w:rsid w:val="008D533F"/>
    <w:rsid w:val="008E1462"/>
    <w:rsid w:val="008E1516"/>
    <w:rsid w:val="008E2A8B"/>
    <w:rsid w:val="00906DE6"/>
    <w:rsid w:val="009105A4"/>
    <w:rsid w:val="009237B4"/>
    <w:rsid w:val="00923BBB"/>
    <w:rsid w:val="00930FB1"/>
    <w:rsid w:val="0093695C"/>
    <w:rsid w:val="00960DE8"/>
    <w:rsid w:val="00960ED3"/>
    <w:rsid w:val="0098622F"/>
    <w:rsid w:val="009915E8"/>
    <w:rsid w:val="00996600"/>
    <w:rsid w:val="009A3AAE"/>
    <w:rsid w:val="009B08F4"/>
    <w:rsid w:val="009B13DA"/>
    <w:rsid w:val="009B52D4"/>
    <w:rsid w:val="009C0436"/>
    <w:rsid w:val="009D3F51"/>
    <w:rsid w:val="00A20351"/>
    <w:rsid w:val="00A2320D"/>
    <w:rsid w:val="00A4073F"/>
    <w:rsid w:val="00A44B40"/>
    <w:rsid w:val="00A45A05"/>
    <w:rsid w:val="00A6576E"/>
    <w:rsid w:val="00A86EAC"/>
    <w:rsid w:val="00AA666D"/>
    <w:rsid w:val="00AB5276"/>
    <w:rsid w:val="00AE438D"/>
    <w:rsid w:val="00B13B48"/>
    <w:rsid w:val="00B14C27"/>
    <w:rsid w:val="00B2113B"/>
    <w:rsid w:val="00B25169"/>
    <w:rsid w:val="00B25E98"/>
    <w:rsid w:val="00B328CF"/>
    <w:rsid w:val="00B352C5"/>
    <w:rsid w:val="00B4155D"/>
    <w:rsid w:val="00B5323F"/>
    <w:rsid w:val="00B714C5"/>
    <w:rsid w:val="00B77A5E"/>
    <w:rsid w:val="00B85143"/>
    <w:rsid w:val="00BA7D92"/>
    <w:rsid w:val="00BB0AB9"/>
    <w:rsid w:val="00BC63F9"/>
    <w:rsid w:val="00BD272A"/>
    <w:rsid w:val="00BF1530"/>
    <w:rsid w:val="00BF7554"/>
    <w:rsid w:val="00C00B5F"/>
    <w:rsid w:val="00C03F7C"/>
    <w:rsid w:val="00C04C8F"/>
    <w:rsid w:val="00C22E64"/>
    <w:rsid w:val="00C5683B"/>
    <w:rsid w:val="00C5739E"/>
    <w:rsid w:val="00C95014"/>
    <w:rsid w:val="00CB29E7"/>
    <w:rsid w:val="00CB7E69"/>
    <w:rsid w:val="00CC6F3E"/>
    <w:rsid w:val="00CD14D6"/>
    <w:rsid w:val="00CF0BAC"/>
    <w:rsid w:val="00D15069"/>
    <w:rsid w:val="00D23131"/>
    <w:rsid w:val="00D54F48"/>
    <w:rsid w:val="00D81502"/>
    <w:rsid w:val="00DA6EBD"/>
    <w:rsid w:val="00DB7A07"/>
    <w:rsid w:val="00DC4D48"/>
    <w:rsid w:val="00DD552B"/>
    <w:rsid w:val="00E25667"/>
    <w:rsid w:val="00E26B2F"/>
    <w:rsid w:val="00E32155"/>
    <w:rsid w:val="00E43381"/>
    <w:rsid w:val="00E4533A"/>
    <w:rsid w:val="00E45F6F"/>
    <w:rsid w:val="00E61798"/>
    <w:rsid w:val="00EB1A01"/>
    <w:rsid w:val="00EB50E4"/>
    <w:rsid w:val="00ED6A5D"/>
    <w:rsid w:val="00EE0B1F"/>
    <w:rsid w:val="00EE7619"/>
    <w:rsid w:val="00EF0BA0"/>
    <w:rsid w:val="00EF6C6B"/>
    <w:rsid w:val="00F1584A"/>
    <w:rsid w:val="00F17193"/>
    <w:rsid w:val="00F203BA"/>
    <w:rsid w:val="00F25ADB"/>
    <w:rsid w:val="00F56200"/>
    <w:rsid w:val="00F718A2"/>
    <w:rsid w:val="00F751E8"/>
    <w:rsid w:val="00FC3224"/>
    <w:rsid w:val="00FC7BA7"/>
    <w:rsid w:val="00FE1A3B"/>
    <w:rsid w:val="08E229A3"/>
    <w:rsid w:val="0F986468"/>
    <w:rsid w:val="14C7148A"/>
    <w:rsid w:val="1D86535D"/>
    <w:rsid w:val="285E1B2B"/>
    <w:rsid w:val="2F9E1633"/>
    <w:rsid w:val="347605C2"/>
    <w:rsid w:val="45700A8B"/>
    <w:rsid w:val="45D47DAF"/>
    <w:rsid w:val="4BBC4D7B"/>
    <w:rsid w:val="4D1D4BE2"/>
    <w:rsid w:val="4D311761"/>
    <w:rsid w:val="51E00916"/>
    <w:rsid w:val="54DB78CE"/>
    <w:rsid w:val="55373706"/>
    <w:rsid w:val="5B042A99"/>
    <w:rsid w:val="5F1E3A1D"/>
    <w:rsid w:val="69873AE1"/>
    <w:rsid w:val="73B90B82"/>
    <w:rsid w:val="778F6692"/>
    <w:rsid w:val="78085713"/>
    <w:rsid w:val="791A25C9"/>
    <w:rsid w:val="7E393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annotation text"/>
    <w:basedOn w:val="1"/>
    <w:semiHidden/>
    <w:unhideWhenUsed/>
    <w:qFormat/>
    <w:uiPriority w:val="99"/>
    <w:pPr>
      <w:jc w:val="left"/>
    </w:pPr>
  </w:style>
  <w:style w:type="paragraph" w:styleId="4">
    <w:name w:val="Balloon Text"/>
    <w:basedOn w:val="1"/>
    <w:link w:val="23"/>
    <w:qFormat/>
    <w:uiPriority w:val="0"/>
    <w:pPr>
      <w:adjustRightInd/>
      <w:spacing w:line="240" w:lineRule="auto"/>
    </w:pPr>
    <w:rPr>
      <w:rFonts w:ascii="Times New Roman" w:hAnsi="Times New Roman"/>
      <w:sz w:val="18"/>
      <w:szCs w:val="18"/>
    </w:rPr>
  </w:style>
  <w:style w:type="paragraph" w:styleId="5">
    <w:name w:val="footer"/>
    <w:basedOn w:val="1"/>
    <w:link w:val="18"/>
    <w:qFormat/>
    <w:uiPriority w:val="0"/>
    <w:pPr>
      <w:tabs>
        <w:tab w:val="center" w:pos="4153"/>
        <w:tab w:val="right" w:pos="8306"/>
      </w:tabs>
      <w:snapToGrid w:val="0"/>
      <w:spacing w:line="240" w:lineRule="atLeast"/>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7">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1">
    <w:name w:val="annotation reference"/>
    <w:basedOn w:val="10"/>
    <w:semiHidden/>
    <w:unhideWhenUsed/>
    <w:qFormat/>
    <w:uiPriority w:val="99"/>
    <w:rPr>
      <w:sz w:val="21"/>
      <w:szCs w:val="21"/>
    </w:rPr>
  </w:style>
  <w:style w:type="paragraph" w:customStyle="1" w:styleId="12">
    <w:name w:val="标准文件_附录标识"/>
    <w:next w:val="13"/>
    <w:qFormat/>
    <w:uiPriority w:val="0"/>
    <w:pPr>
      <w:numPr>
        <w:ilvl w:val="0"/>
        <w:numId w:val="1"/>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
    <w:name w:val="段"/>
    <w:link w:val="2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标准文件_注："/>
    <w:next w:val="13"/>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paragraph" w:customStyle="1" w:styleId="16">
    <w:name w:val="Table Paragraph"/>
    <w:basedOn w:val="1"/>
    <w:qFormat/>
    <w:uiPriority w:val="1"/>
    <w:pPr>
      <w:autoSpaceDE w:val="0"/>
      <w:autoSpaceDN w:val="0"/>
      <w:spacing w:before="122"/>
      <w:ind w:left="10"/>
      <w:jc w:val="left"/>
    </w:pPr>
    <w:rPr>
      <w:rFonts w:ascii="宋体" w:hAnsi="宋体" w:cs="宋体"/>
      <w:kern w:val="0"/>
      <w:sz w:val="22"/>
    </w:rPr>
  </w:style>
  <w:style w:type="character" w:customStyle="1" w:styleId="17">
    <w:name w:val="页眉 字符"/>
    <w:basedOn w:val="10"/>
    <w:link w:val="6"/>
    <w:qFormat/>
    <w:uiPriority w:val="0"/>
    <w:rPr>
      <w:rFonts w:ascii="Calibri" w:hAnsi="Calibri"/>
      <w:kern w:val="2"/>
      <w:sz w:val="18"/>
      <w:szCs w:val="18"/>
    </w:rPr>
  </w:style>
  <w:style w:type="character" w:customStyle="1" w:styleId="18">
    <w:name w:val="页脚 字符"/>
    <w:basedOn w:val="10"/>
    <w:link w:val="5"/>
    <w:qFormat/>
    <w:uiPriority w:val="0"/>
    <w:rPr>
      <w:rFonts w:ascii="Calibri" w:hAnsi="Calibri"/>
      <w:kern w:val="2"/>
      <w:sz w:val="18"/>
      <w:szCs w:val="18"/>
    </w:rPr>
  </w:style>
  <w:style w:type="paragraph" w:styleId="19">
    <w:name w:val="List Paragraph"/>
    <w:basedOn w:val="1"/>
    <w:qFormat/>
    <w:uiPriority w:val="99"/>
    <w:pPr>
      <w:ind w:firstLine="420" w:firstLineChars="200"/>
    </w:pPr>
  </w:style>
  <w:style w:type="paragraph" w:customStyle="1" w:styleId="20">
    <w:name w:val="标准文件_二级无标题"/>
    <w:basedOn w:val="21"/>
    <w:qFormat/>
    <w:uiPriority w:val="0"/>
    <w:pPr>
      <w:spacing w:before="0" w:beforeLines="0" w:after="0" w:afterLines="0"/>
      <w:outlineLvl w:val="9"/>
    </w:pPr>
    <w:rPr>
      <w:rFonts w:ascii="宋体" w:eastAsia="宋体"/>
    </w:rPr>
  </w:style>
  <w:style w:type="paragraph" w:customStyle="1" w:styleId="21">
    <w:name w:val="标准文件_二级条标题"/>
    <w:next w:val="13"/>
    <w:qFormat/>
    <w:uiPriority w:val="0"/>
    <w:pPr>
      <w:widowControl w:val="0"/>
      <w:numPr>
        <w:ilvl w:val="3"/>
        <w:numId w:val="3"/>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22">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character" w:customStyle="1" w:styleId="23">
    <w:name w:val="批注框文本 字符"/>
    <w:basedOn w:val="10"/>
    <w:link w:val="4"/>
    <w:qFormat/>
    <w:uiPriority w:val="0"/>
    <w:rPr>
      <w:kern w:val="2"/>
      <w:sz w:val="18"/>
      <w:szCs w:val="18"/>
    </w:rPr>
  </w:style>
  <w:style w:type="character" w:customStyle="1" w:styleId="24">
    <w:name w:val="段 Char"/>
    <w:link w:val="14"/>
    <w:qFormat/>
    <w:uiPriority w:val="0"/>
    <w:rPr>
      <w:rFonts w:ascii="宋体"/>
      <w:sz w:val="21"/>
    </w:rPr>
  </w:style>
  <w:style w:type="character" w:customStyle="1" w:styleId="25">
    <w:name w:val="批注框文本 字符1"/>
    <w:basedOn w:val="10"/>
    <w:qFormat/>
    <w:uiPriority w:val="0"/>
    <w:rPr>
      <w:rFonts w:ascii="Calibri" w:hAnsi="Calibri"/>
      <w:kern w:val="2"/>
      <w:sz w:val="18"/>
      <w:szCs w:val="18"/>
    </w:rPr>
  </w:style>
  <w:style w:type="paragraph" w:customStyle="1" w:styleId="26">
    <w:name w:val="Default"/>
    <w:qFormat/>
    <w:uiPriority w:val="0"/>
    <w:pPr>
      <w:widowControl w:val="0"/>
      <w:autoSpaceDE w:val="0"/>
      <w:autoSpaceDN w:val="0"/>
      <w:adjustRightInd w:val="0"/>
    </w:pPr>
    <w:rPr>
      <w:rFonts w:ascii="宋体_x0003_...销." w:hAnsi="Times New Roman" w:eastAsia="宋体_x0003_...销." w:cs="宋体_x0003_...销."/>
      <w:color w:val="000000"/>
      <w:sz w:val="24"/>
      <w:szCs w:val="24"/>
      <w:lang w:val="en-US" w:eastAsia="zh-CN" w:bidi="ar-SA"/>
    </w:rPr>
  </w:style>
  <w:style w:type="paragraph" w:customStyle="1" w:styleId="27">
    <w:name w:val="正文内容"/>
    <w:basedOn w:val="1"/>
    <w:link w:val="28"/>
    <w:qFormat/>
    <w:uiPriority w:val="0"/>
    <w:pPr>
      <w:overflowPunct w:val="0"/>
      <w:adjustRightInd/>
      <w:spacing w:line="360" w:lineRule="auto"/>
      <w:ind w:firstLine="200" w:firstLineChars="200"/>
    </w:pPr>
    <w:rPr>
      <w:rFonts w:ascii="Times New Roman" w:hAnsi="Times New Roman" w:cs="黑体"/>
      <w:sz w:val="24"/>
      <w:szCs w:val="28"/>
    </w:rPr>
  </w:style>
  <w:style w:type="character" w:customStyle="1" w:styleId="28">
    <w:name w:val="正文内容 Char Char"/>
    <w:link w:val="27"/>
    <w:qFormat/>
    <w:uiPriority w:val="0"/>
    <w:rPr>
      <w:rFonts w:cs="黑体"/>
      <w:kern w:val="2"/>
      <w:sz w:val="24"/>
      <w:szCs w:val="28"/>
    </w:rPr>
  </w:style>
  <w:style w:type="paragraph" w:customStyle="1" w:styleId="29">
    <w:name w:val="Body text|1"/>
    <w:basedOn w:val="1"/>
    <w:qFormat/>
    <w:uiPriority w:val="0"/>
    <w:pPr>
      <w:spacing w:after="80"/>
      <w:ind w:firstLine="400"/>
    </w:pPr>
    <w:rPr>
      <w:rFonts w:ascii="宋体" w:hAnsi="宋体" w:cs="宋体"/>
      <w:sz w:val="20"/>
      <w:szCs w:val="20"/>
      <w:lang w:val="zh-TW" w:eastAsia="zh-TW" w:bidi="zh-TW"/>
    </w:rPr>
  </w:style>
  <w:style w:type="table" w:customStyle="1" w:styleId="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544</Words>
  <Characters>3104</Characters>
  <Lines>25</Lines>
  <Paragraphs>7</Paragraphs>
  <TotalTime>293</TotalTime>
  <ScaleCrop>false</ScaleCrop>
  <LinksUpToDate>false</LinksUpToDate>
  <CharactersWithSpaces>3641</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2023-04-10T03:51:00Z</dcterms:created>
  <dc:creator>李洁</dc:creator>
  <cp:lastModifiedBy>不是兔子也不是小六</cp:lastModifiedBy>
  <dcterms:modified xsi:type="dcterms:W3CDTF">2024-10-30T03:25:20Z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29DAF72907AB4A2AA42242824DB68C95_13</vt:lpwstr>
  </property>
</Properties>
</file>